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B3338" w14:textId="5C70448A" w:rsidR="004B088A" w:rsidRPr="00C92ECE" w:rsidRDefault="00FF2C6C" w:rsidP="00C92ECE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SA"/>
        </w:rPr>
      </w:pPr>
      <w:r w:rsidRPr="00C92ECE">
        <w:rPr>
          <w:rFonts w:cstheme="minorHAnsi"/>
          <w:b/>
          <w:bCs/>
          <w:sz w:val="24"/>
          <w:szCs w:val="24"/>
          <w:lang w:bidi="ar-SA"/>
        </w:rPr>
        <w:t xml:space="preserve">A resistência </w:t>
      </w:r>
      <w:r w:rsidR="00333B92" w:rsidRPr="00C92ECE">
        <w:rPr>
          <w:rFonts w:cstheme="minorHAnsi"/>
          <w:b/>
          <w:bCs/>
          <w:sz w:val="24"/>
          <w:szCs w:val="24"/>
          <w:lang w:bidi="ar-SA"/>
        </w:rPr>
        <w:t xml:space="preserve">genética </w:t>
      </w:r>
      <w:r w:rsidRPr="00C92ECE">
        <w:rPr>
          <w:rFonts w:cstheme="minorHAnsi"/>
          <w:b/>
          <w:bCs/>
          <w:sz w:val="24"/>
          <w:szCs w:val="24"/>
          <w:lang w:bidi="ar-SA"/>
        </w:rPr>
        <w:t>d</w:t>
      </w:r>
      <w:r w:rsidR="000941C6" w:rsidRPr="00C92ECE">
        <w:rPr>
          <w:rFonts w:cstheme="minorHAnsi"/>
          <w:b/>
          <w:bCs/>
          <w:sz w:val="24"/>
          <w:szCs w:val="24"/>
          <w:lang w:bidi="ar-SA"/>
        </w:rPr>
        <w:t>e</w:t>
      </w:r>
      <w:r w:rsidRPr="00C92ECE">
        <w:rPr>
          <w:rFonts w:cstheme="minorHAnsi"/>
          <w:b/>
          <w:bCs/>
          <w:sz w:val="24"/>
          <w:szCs w:val="24"/>
          <w:lang w:bidi="ar-SA"/>
        </w:rPr>
        <w:t xml:space="preserve"> raças autóctones no controlo de doenças </w:t>
      </w:r>
      <w:r w:rsidR="000941C6" w:rsidRPr="00C92ECE">
        <w:rPr>
          <w:rFonts w:cstheme="minorHAnsi"/>
          <w:b/>
          <w:bCs/>
          <w:sz w:val="24"/>
          <w:szCs w:val="24"/>
          <w:lang w:bidi="ar-SA"/>
        </w:rPr>
        <w:t>transmitidas por carraças</w:t>
      </w:r>
    </w:p>
    <w:p w14:paraId="5A024C9B" w14:textId="77777777" w:rsidR="00C92ECE" w:rsidRPr="00C92ECE" w:rsidRDefault="00C92ECE" w:rsidP="00C92ECE">
      <w:pPr>
        <w:spacing w:after="0" w:line="240" w:lineRule="auto"/>
        <w:jc w:val="center"/>
        <w:rPr>
          <w:rFonts w:cstheme="minorHAnsi"/>
          <w:b/>
          <w:bCs/>
          <w:lang w:bidi="ar-SA"/>
        </w:rPr>
      </w:pPr>
    </w:p>
    <w:p w14:paraId="09063E24" w14:textId="03DCB1DD" w:rsidR="00EB2330" w:rsidRPr="00CE65DD" w:rsidRDefault="00EB2330" w:rsidP="00CE65DD">
      <w:pPr>
        <w:spacing w:after="0" w:line="240" w:lineRule="auto"/>
        <w:jc w:val="center"/>
        <w:rPr>
          <w:rFonts w:cstheme="minorHAnsi"/>
        </w:rPr>
      </w:pPr>
      <w:r w:rsidRPr="00CE65DD">
        <w:rPr>
          <w:rFonts w:cstheme="minorHAnsi"/>
        </w:rPr>
        <w:t xml:space="preserve">Diana Valente </w:t>
      </w:r>
      <w:r w:rsidRPr="00CE65DD">
        <w:rPr>
          <w:rFonts w:cstheme="minorHAnsi"/>
          <w:vertAlign w:val="superscript"/>
        </w:rPr>
        <w:t>1, 2, 3 *</w:t>
      </w:r>
      <w:r w:rsidRPr="00CE65DD">
        <w:rPr>
          <w:rFonts w:cstheme="minorHAnsi"/>
        </w:rPr>
        <w:t xml:space="preserve">, </w:t>
      </w:r>
      <w:r w:rsidR="00687A9C" w:rsidRPr="00CE65DD">
        <w:rPr>
          <w:rFonts w:cstheme="minorHAnsi"/>
        </w:rPr>
        <w:t>Nuno</w:t>
      </w:r>
      <w:r w:rsidRPr="00CE65DD">
        <w:rPr>
          <w:rFonts w:cstheme="minorHAnsi"/>
        </w:rPr>
        <w:t xml:space="preserve"> Carolino </w:t>
      </w:r>
      <w:r w:rsidRPr="00CE65DD">
        <w:rPr>
          <w:rFonts w:cstheme="minorHAnsi"/>
          <w:vertAlign w:val="superscript"/>
        </w:rPr>
        <w:t>1, 4</w:t>
      </w:r>
      <w:r w:rsidR="00687A9C" w:rsidRPr="00CE65DD">
        <w:rPr>
          <w:rFonts w:cstheme="minorHAnsi"/>
          <w:vertAlign w:val="superscript"/>
        </w:rPr>
        <w:t>, 5, 6</w:t>
      </w:r>
      <w:r w:rsidRPr="00CE65DD">
        <w:rPr>
          <w:rFonts w:cstheme="minorHAnsi"/>
        </w:rPr>
        <w:t xml:space="preserve">, </w:t>
      </w:r>
      <w:r w:rsidR="00FC0BB5" w:rsidRPr="00CE65DD">
        <w:rPr>
          <w:rFonts w:cstheme="minorHAnsi"/>
        </w:rPr>
        <w:t xml:space="preserve">Jacinto Gomes </w:t>
      </w:r>
      <w:r w:rsidR="00FC0BB5" w:rsidRPr="00CE65DD">
        <w:rPr>
          <w:rFonts w:cstheme="minorHAnsi"/>
          <w:vertAlign w:val="superscript"/>
        </w:rPr>
        <w:t>5, 6, 7</w:t>
      </w:r>
      <w:r w:rsidR="00FC0BB5" w:rsidRPr="00CE65DD">
        <w:rPr>
          <w:rFonts w:cstheme="minorHAnsi"/>
        </w:rPr>
        <w:t xml:space="preserve">, José Pais </w:t>
      </w:r>
      <w:r w:rsidR="00FC0BB5" w:rsidRPr="00CE65DD">
        <w:rPr>
          <w:rFonts w:cstheme="minorHAnsi"/>
          <w:vertAlign w:val="superscript"/>
        </w:rPr>
        <w:t>8</w:t>
      </w:r>
      <w:r w:rsidR="00FC0BB5" w:rsidRPr="00CE65DD">
        <w:rPr>
          <w:rFonts w:cstheme="minorHAnsi"/>
        </w:rPr>
        <w:t xml:space="preserve">, Pedro Espadinha </w:t>
      </w:r>
      <w:r w:rsidR="00FC0BB5" w:rsidRPr="00CE65DD">
        <w:rPr>
          <w:rFonts w:cstheme="minorHAnsi"/>
          <w:vertAlign w:val="superscript"/>
        </w:rPr>
        <w:t>9</w:t>
      </w:r>
      <w:r w:rsidR="00926E08" w:rsidRPr="00CE65DD">
        <w:rPr>
          <w:rFonts w:cstheme="minorHAnsi"/>
        </w:rPr>
        <w:t xml:space="preserve">, </w:t>
      </w:r>
      <w:r w:rsidR="00687A9C" w:rsidRPr="00CE65DD">
        <w:rPr>
          <w:rFonts w:cstheme="minorHAnsi"/>
        </w:rPr>
        <w:t>Inês</w:t>
      </w:r>
      <w:r w:rsidRPr="00CE65DD">
        <w:rPr>
          <w:rFonts w:cstheme="minorHAnsi"/>
        </w:rPr>
        <w:t xml:space="preserve"> Carolino </w:t>
      </w:r>
      <w:r w:rsidRPr="00CE65DD">
        <w:rPr>
          <w:rFonts w:cstheme="minorHAnsi"/>
          <w:vertAlign w:val="superscript"/>
        </w:rPr>
        <w:t>1, 4</w:t>
      </w:r>
    </w:p>
    <w:p w14:paraId="4F8A91F7" w14:textId="77777777" w:rsidR="00EB2330" w:rsidRPr="00CE65DD" w:rsidRDefault="00EB2330" w:rsidP="00CE65DD">
      <w:pPr>
        <w:spacing w:after="0" w:line="240" w:lineRule="auto"/>
        <w:jc w:val="both"/>
        <w:rPr>
          <w:rFonts w:cstheme="minorHAnsi"/>
        </w:rPr>
      </w:pPr>
      <w:r w:rsidRPr="00CE65DD">
        <w:rPr>
          <w:rFonts w:cstheme="minorHAnsi"/>
          <w:vertAlign w:val="superscript"/>
        </w:rPr>
        <w:t>1</w:t>
      </w:r>
      <w:r w:rsidRPr="00CE65DD">
        <w:rPr>
          <w:rFonts w:cstheme="minorHAnsi"/>
        </w:rPr>
        <w:t xml:space="preserve"> CIVG— Centro de Investigação Vasco da Gama, EUVG— Escola Universitária Vasco da Gama, 3020-210 Coimbra, Portugal </w:t>
      </w:r>
    </w:p>
    <w:p w14:paraId="120E94FD" w14:textId="77777777" w:rsidR="00EB2330" w:rsidRPr="00CE65DD" w:rsidRDefault="00EB2330" w:rsidP="00CE65DD">
      <w:pPr>
        <w:spacing w:after="0" w:line="240" w:lineRule="auto"/>
        <w:jc w:val="both"/>
        <w:rPr>
          <w:rFonts w:cstheme="minorHAnsi"/>
        </w:rPr>
      </w:pPr>
      <w:r w:rsidRPr="00CE65DD">
        <w:rPr>
          <w:rFonts w:cstheme="minorHAnsi"/>
          <w:vertAlign w:val="superscript"/>
        </w:rPr>
        <w:t>2</w:t>
      </w:r>
      <w:r w:rsidRPr="00CE65DD">
        <w:rPr>
          <w:rFonts w:cstheme="minorHAnsi"/>
        </w:rPr>
        <w:t xml:space="preserve"> Centro de Ciência Animal e Veterinária, Universidade de Trás-os-Montes e Alto Douro, 5000-801 Vila Real, Portugal</w:t>
      </w:r>
    </w:p>
    <w:p w14:paraId="547662BC" w14:textId="26B21064" w:rsidR="00EB2330" w:rsidRPr="00CE65DD" w:rsidRDefault="00EB2330" w:rsidP="00CE65DD">
      <w:pPr>
        <w:spacing w:after="0" w:line="240" w:lineRule="auto"/>
        <w:jc w:val="both"/>
        <w:rPr>
          <w:rFonts w:cstheme="minorHAnsi"/>
        </w:rPr>
      </w:pPr>
      <w:r w:rsidRPr="00CE65DD">
        <w:rPr>
          <w:rFonts w:cstheme="minorHAnsi"/>
          <w:vertAlign w:val="superscript"/>
        </w:rPr>
        <w:t>3</w:t>
      </w:r>
      <w:r w:rsidRPr="00CE65DD">
        <w:rPr>
          <w:rFonts w:cstheme="minorHAnsi"/>
        </w:rPr>
        <w:t xml:space="preserve"> </w:t>
      </w:r>
      <w:r w:rsidR="00276083" w:rsidRPr="00CE65DD">
        <w:rPr>
          <w:rFonts w:cstheme="minorHAnsi"/>
        </w:rPr>
        <w:t>Escola Superior Agrária de Coimbra, Instituto Politécnico de Coimbra, 3045-601 Bencanta, Portugal</w:t>
      </w:r>
    </w:p>
    <w:p w14:paraId="5CB6A24F" w14:textId="3E9E4068" w:rsidR="00EB2330" w:rsidRPr="00CE65DD" w:rsidRDefault="00EB2330" w:rsidP="00CE65DD">
      <w:pPr>
        <w:spacing w:after="0" w:line="240" w:lineRule="auto"/>
        <w:jc w:val="both"/>
        <w:rPr>
          <w:rFonts w:cstheme="minorHAnsi"/>
        </w:rPr>
      </w:pPr>
      <w:r w:rsidRPr="00CE65DD">
        <w:rPr>
          <w:rFonts w:cstheme="minorHAnsi"/>
          <w:vertAlign w:val="superscript"/>
        </w:rPr>
        <w:t>4</w:t>
      </w:r>
      <w:r w:rsidRPr="00CE65DD">
        <w:rPr>
          <w:rFonts w:cstheme="minorHAnsi"/>
        </w:rPr>
        <w:t xml:space="preserve"> Polo de Inovação da Fonte Boa—Estação Zootécnica Nacional, Instituto Nacional de Investigação Agrária e Veterinária, Santarém, Portugal</w:t>
      </w:r>
      <w:r w:rsidR="00DA745E" w:rsidRPr="00CE65DD">
        <w:rPr>
          <w:rFonts w:cstheme="minorHAnsi"/>
        </w:rPr>
        <w:t>/CNCACSA</w:t>
      </w:r>
    </w:p>
    <w:p w14:paraId="657D8CA2" w14:textId="77777777" w:rsidR="00EB2330" w:rsidRPr="00CE65DD" w:rsidRDefault="00EB2330" w:rsidP="00CE65DD">
      <w:pPr>
        <w:spacing w:after="0" w:line="240" w:lineRule="auto"/>
        <w:jc w:val="both"/>
        <w:rPr>
          <w:rFonts w:cstheme="minorHAnsi"/>
        </w:rPr>
      </w:pPr>
      <w:r w:rsidRPr="00CE65DD">
        <w:rPr>
          <w:rFonts w:cstheme="minorHAnsi"/>
          <w:vertAlign w:val="superscript"/>
        </w:rPr>
        <w:t>5</w:t>
      </w:r>
      <w:r w:rsidRPr="00CE65DD">
        <w:rPr>
          <w:rFonts w:cstheme="minorHAnsi"/>
        </w:rPr>
        <w:t xml:space="preserve"> CIISA — Centro de Investigação Interdisciplinar em Sanidade Animal, Faculdade de Medicina Veterinária, Universidade de Lisboa, 1300-477 Lisboa, Portugal </w:t>
      </w:r>
    </w:p>
    <w:p w14:paraId="1C891E30" w14:textId="77777777" w:rsidR="00EB2330" w:rsidRPr="00CE65DD" w:rsidRDefault="00EB2330" w:rsidP="00CE65DD">
      <w:pPr>
        <w:spacing w:after="0" w:line="240" w:lineRule="auto"/>
        <w:jc w:val="both"/>
        <w:rPr>
          <w:rFonts w:cstheme="minorHAnsi"/>
        </w:rPr>
      </w:pPr>
      <w:r w:rsidRPr="00CE65DD">
        <w:rPr>
          <w:rFonts w:cstheme="minorHAnsi"/>
          <w:vertAlign w:val="superscript"/>
        </w:rPr>
        <w:t>6</w:t>
      </w:r>
      <w:r w:rsidRPr="00CE65DD">
        <w:rPr>
          <w:rFonts w:cstheme="minorHAnsi"/>
        </w:rPr>
        <w:t xml:space="preserve"> Laboratório Associado de Ciências Animais e Veterinárias (AL4AnimalS), Faculdade de Medicina Veterinária, Universidade de Lisboa, 1300-477 Lisboa, Portugal </w:t>
      </w:r>
    </w:p>
    <w:p w14:paraId="747A8ED7" w14:textId="33824B62" w:rsidR="00FC0BB5" w:rsidRPr="00CE65DD" w:rsidRDefault="00FC0BB5" w:rsidP="00CE65DD">
      <w:pPr>
        <w:spacing w:after="0" w:line="240" w:lineRule="auto"/>
        <w:jc w:val="both"/>
        <w:rPr>
          <w:rFonts w:cstheme="minorHAnsi"/>
        </w:rPr>
      </w:pPr>
      <w:r w:rsidRPr="00CE65DD">
        <w:rPr>
          <w:rFonts w:cstheme="minorHAnsi"/>
          <w:vertAlign w:val="superscript"/>
        </w:rPr>
        <w:t>7</w:t>
      </w:r>
      <w:r w:rsidRPr="00CE65DD">
        <w:rPr>
          <w:rFonts w:cstheme="minorHAnsi"/>
        </w:rPr>
        <w:t xml:space="preserve"> Escola Superior de Biociências de Elvas, Instituto Politécnico de Portalegre, Elvas, Portugal</w:t>
      </w:r>
    </w:p>
    <w:p w14:paraId="23009EA3" w14:textId="32F4065B" w:rsidR="00FC0BB5" w:rsidRPr="00CE65DD" w:rsidRDefault="00FC0BB5" w:rsidP="00CE65DD">
      <w:pPr>
        <w:spacing w:after="0" w:line="240" w:lineRule="auto"/>
        <w:jc w:val="both"/>
        <w:rPr>
          <w:rFonts w:cstheme="minorHAnsi"/>
        </w:rPr>
      </w:pPr>
      <w:r w:rsidRPr="00CE65DD">
        <w:rPr>
          <w:rFonts w:cstheme="minorHAnsi"/>
          <w:vertAlign w:val="superscript"/>
        </w:rPr>
        <w:t>8</w:t>
      </w:r>
      <w:r w:rsidRPr="00CE65DD">
        <w:rPr>
          <w:rFonts w:cstheme="minorHAnsi"/>
        </w:rPr>
        <w:t xml:space="preserve"> Associação de Criadores de Bovinos Mertolengos, Évora, Portugal</w:t>
      </w:r>
    </w:p>
    <w:p w14:paraId="026BB734" w14:textId="66C35DB2" w:rsidR="00FC0BB5" w:rsidRPr="00CE65DD" w:rsidRDefault="00FC0BB5" w:rsidP="00CE65DD">
      <w:pPr>
        <w:spacing w:after="0" w:line="240" w:lineRule="auto"/>
        <w:jc w:val="both"/>
        <w:rPr>
          <w:rFonts w:cstheme="minorHAnsi"/>
        </w:rPr>
      </w:pPr>
      <w:r w:rsidRPr="00CE65DD">
        <w:rPr>
          <w:rFonts w:cstheme="minorHAnsi"/>
          <w:vertAlign w:val="superscript"/>
        </w:rPr>
        <w:t>9</w:t>
      </w:r>
      <w:r w:rsidRPr="00CE65DD">
        <w:rPr>
          <w:rFonts w:cstheme="minorHAnsi"/>
        </w:rPr>
        <w:t xml:space="preserve"> Associação De Criadores De Bovinos De Raça Alentejana, Herdade Coutada Real Assumar, Assumar, Portalegre</w:t>
      </w:r>
    </w:p>
    <w:p w14:paraId="6FEE720B" w14:textId="0A6A5D04" w:rsidR="00C92ECE" w:rsidRPr="00CE65DD" w:rsidRDefault="00C92ECE" w:rsidP="00CE65DD">
      <w:pPr>
        <w:spacing w:after="0" w:line="240" w:lineRule="auto"/>
        <w:jc w:val="both"/>
        <w:rPr>
          <w:rFonts w:cstheme="minorHAnsi"/>
        </w:rPr>
      </w:pPr>
    </w:p>
    <w:p w14:paraId="3E677DB2" w14:textId="77777777" w:rsidR="00EB2330" w:rsidRPr="00CE65DD" w:rsidRDefault="00EB2330" w:rsidP="00CE65DD">
      <w:pPr>
        <w:spacing w:after="0" w:line="240" w:lineRule="auto"/>
        <w:jc w:val="both"/>
        <w:rPr>
          <w:rFonts w:cstheme="minorHAnsi"/>
        </w:rPr>
      </w:pPr>
      <w:r w:rsidRPr="00CE65DD">
        <w:rPr>
          <w:rFonts w:cstheme="minorHAnsi"/>
        </w:rPr>
        <w:t xml:space="preserve">* </w:t>
      </w:r>
      <w:hyperlink r:id="rId5" w:history="1">
        <w:r w:rsidRPr="00CE65DD">
          <w:rPr>
            <w:rStyle w:val="Hiperligao"/>
            <w:rFonts w:cstheme="minorHAnsi"/>
          </w:rPr>
          <w:t>dmsvalente@hotmail.com</w:t>
        </w:r>
      </w:hyperlink>
    </w:p>
    <w:p w14:paraId="037E07BB" w14:textId="0A4567B8" w:rsidR="00EB2330" w:rsidRDefault="00EB2330" w:rsidP="00EB2330">
      <w:pPr>
        <w:rPr>
          <w:b/>
          <w:bCs/>
          <w:sz w:val="28"/>
          <w:szCs w:val="28"/>
        </w:rPr>
      </w:pPr>
    </w:p>
    <w:p w14:paraId="23A8AAA7" w14:textId="56E14BCF" w:rsidR="009554C0" w:rsidRDefault="009554C0" w:rsidP="00EB233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D530EAC" wp14:editId="61C5FA3B">
            <wp:extent cx="685800" cy="85854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0266015_4743754792348652_8988533934391951315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82" cy="87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2B562A54" wp14:editId="09BDEBE6">
            <wp:extent cx="845820" cy="8458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0917992_1268727730167343_479048060709515213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C2619C5" wp14:editId="6AC1329C">
            <wp:extent cx="739140" cy="830205"/>
            <wp:effectExtent l="0" t="0" r="381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no2022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48" cy="8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EE43" w14:textId="77777777" w:rsidR="009554C0" w:rsidRDefault="009554C0" w:rsidP="00D05002">
      <w:pPr>
        <w:jc w:val="both"/>
        <w:rPr>
          <w:b/>
          <w:bCs/>
        </w:rPr>
      </w:pPr>
    </w:p>
    <w:p w14:paraId="6AD20ED8" w14:textId="54ECE819" w:rsidR="000941C6" w:rsidRPr="000941C6" w:rsidRDefault="000941C6" w:rsidP="00D05002">
      <w:pPr>
        <w:jc w:val="both"/>
        <w:rPr>
          <w:b/>
          <w:bCs/>
        </w:rPr>
      </w:pPr>
      <w:r w:rsidRPr="000941C6">
        <w:rPr>
          <w:b/>
          <w:bCs/>
        </w:rPr>
        <w:t>Teileriose Tropical</w:t>
      </w:r>
    </w:p>
    <w:p w14:paraId="1299AD3F" w14:textId="77777777" w:rsidR="00C0192F" w:rsidRDefault="00C0192F" w:rsidP="00C0192F">
      <w:pPr>
        <w:spacing w:after="0" w:line="240" w:lineRule="auto"/>
        <w:jc w:val="both"/>
      </w:pPr>
      <w:r>
        <w:t xml:space="preserve">As doenças parasitárias transmitidas por carraças aos animais têm um enorme impacto nas explorações pecuárias, em todo o mundo, afetando a sua produtividade e sustentabilidade, mas também o bem-estar dos animais. No caso dos bovinos, as doenças transmitidas por carraças </w:t>
      </w:r>
    </w:p>
    <w:p w14:paraId="2C9807C7" w14:textId="77777777" w:rsidR="00C0192F" w:rsidRDefault="00C0192F" w:rsidP="00C0192F">
      <w:pPr>
        <w:spacing w:after="0" w:line="240" w:lineRule="auto"/>
        <w:jc w:val="both"/>
      </w:pPr>
      <w:r>
        <w:t xml:space="preserve">mais comuns são Anaplasmose, </w:t>
      </w:r>
      <w:proofErr w:type="spellStart"/>
      <w:r>
        <w:t>Babesiose</w:t>
      </w:r>
      <w:proofErr w:type="spellEnd"/>
      <w:r>
        <w:t xml:space="preserve"> e Teileriose, as quais originam custos que se prendem essencialmente ao aumento da mortalidade e morbilidade. A </w:t>
      </w:r>
      <w:proofErr w:type="spellStart"/>
      <w:r>
        <w:t>Teileiriose</w:t>
      </w:r>
      <w:proofErr w:type="spellEnd"/>
      <w:r>
        <w:t xml:space="preserve"> Tropical, causada pelo protozoário </w:t>
      </w:r>
      <w:proofErr w:type="spellStart"/>
      <w:r w:rsidRPr="00E907CE">
        <w:rPr>
          <w:i/>
          <w:iCs/>
        </w:rPr>
        <w:t>Theileria</w:t>
      </w:r>
      <w:proofErr w:type="spellEnd"/>
      <w:r w:rsidRPr="00E907CE">
        <w:rPr>
          <w:i/>
          <w:iCs/>
        </w:rPr>
        <w:t xml:space="preserve"> </w:t>
      </w:r>
      <w:proofErr w:type="spellStart"/>
      <w:r w:rsidRPr="00E907CE">
        <w:rPr>
          <w:i/>
          <w:iCs/>
        </w:rPr>
        <w:t>annulata</w:t>
      </w:r>
      <w:proofErr w:type="spellEnd"/>
      <w:r>
        <w:t xml:space="preserve">, é uma doença </w:t>
      </w:r>
      <w:proofErr w:type="spellStart"/>
      <w:r>
        <w:t>hemoparasitária</w:t>
      </w:r>
      <w:proofErr w:type="spellEnd"/>
      <w:r>
        <w:t xml:space="preserve"> endémica, com prevalência na Ásia, Médio Oriente, Sul da Europa e Norte de África (Fig. 1). </w:t>
      </w:r>
    </w:p>
    <w:p w14:paraId="2D8B37CC" w14:textId="0A4D3D8A" w:rsidR="00940DA1" w:rsidRPr="00940DA1" w:rsidRDefault="00940DA1" w:rsidP="00940DA1">
      <w:pPr>
        <w:jc w:val="both"/>
      </w:pPr>
      <w:r w:rsidRPr="00940DA1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22B98A2" wp14:editId="2E471D23">
            <wp:simplePos x="0" y="0"/>
            <wp:positionH relativeFrom="column">
              <wp:posOffset>70485</wp:posOffset>
            </wp:positionH>
            <wp:positionV relativeFrom="paragraph">
              <wp:posOffset>247015</wp:posOffset>
            </wp:positionV>
            <wp:extent cx="3660140" cy="2240280"/>
            <wp:effectExtent l="0" t="0" r="0" b="7620"/>
            <wp:wrapTight wrapText="bothSides">
              <wp:wrapPolygon edited="0">
                <wp:start x="0" y="0"/>
                <wp:lineTo x="0" y="21490"/>
                <wp:lineTo x="21473" y="21490"/>
                <wp:lineTo x="21473" y="0"/>
                <wp:lineTo x="0" y="0"/>
              </wp:wrapPolygon>
            </wp:wrapTight>
            <wp:docPr id="320072663" name="Imagem 6" descr="Uma imagem com texto, mapa, atlas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72663" name="Imagem 6" descr="Uma imagem com texto, mapa, atlas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B5F07" w14:textId="77777777" w:rsidR="00C0192F" w:rsidRDefault="00C0192F" w:rsidP="00D05002">
      <w:pPr>
        <w:jc w:val="both"/>
      </w:pPr>
    </w:p>
    <w:p w14:paraId="258D314F" w14:textId="77777777" w:rsidR="00C0192F" w:rsidRDefault="00C0192F" w:rsidP="00D05002">
      <w:pPr>
        <w:jc w:val="both"/>
      </w:pPr>
    </w:p>
    <w:p w14:paraId="61E0AFBB" w14:textId="77777777" w:rsidR="00C0192F" w:rsidRDefault="00C0192F" w:rsidP="00D05002">
      <w:pPr>
        <w:jc w:val="both"/>
      </w:pPr>
    </w:p>
    <w:p w14:paraId="57943243" w14:textId="77777777" w:rsidR="00C0192F" w:rsidRDefault="00C0192F" w:rsidP="00D05002">
      <w:pPr>
        <w:jc w:val="both"/>
      </w:pPr>
    </w:p>
    <w:p w14:paraId="5405DAEC" w14:textId="77777777" w:rsidR="00C0192F" w:rsidRDefault="00C0192F" w:rsidP="00D05002">
      <w:pPr>
        <w:jc w:val="both"/>
      </w:pPr>
    </w:p>
    <w:p w14:paraId="17299DBF" w14:textId="77777777" w:rsidR="00C0192F" w:rsidRDefault="00C0192F" w:rsidP="00D05002">
      <w:pPr>
        <w:jc w:val="both"/>
      </w:pPr>
    </w:p>
    <w:p w14:paraId="27B5762A" w14:textId="77777777" w:rsidR="00C0192F" w:rsidRDefault="00C0192F" w:rsidP="00D05002">
      <w:pPr>
        <w:jc w:val="both"/>
      </w:pPr>
    </w:p>
    <w:p w14:paraId="7648FCB4" w14:textId="77777777" w:rsidR="00C0192F" w:rsidRDefault="00C0192F" w:rsidP="00D05002">
      <w:pPr>
        <w:jc w:val="both"/>
      </w:pPr>
    </w:p>
    <w:p w14:paraId="29781251" w14:textId="2A5497D1" w:rsidR="00C0192F" w:rsidRDefault="00C0192F" w:rsidP="00D05002">
      <w:pPr>
        <w:jc w:val="both"/>
      </w:pPr>
      <w:r w:rsidRPr="00791616">
        <w:rPr>
          <w:noProof/>
          <w:lang w:eastAsia="pt-P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6ED545" wp14:editId="769C56CF">
                <wp:simplePos x="0" y="0"/>
                <wp:positionH relativeFrom="margin">
                  <wp:posOffset>160020</wp:posOffset>
                </wp:positionH>
                <wp:positionV relativeFrom="paragraph">
                  <wp:posOffset>57150</wp:posOffset>
                </wp:positionV>
                <wp:extent cx="3771900" cy="46482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CaixaDe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63AEA4-C444-BB59-42EE-736A2A6973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64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39F2C0" w14:textId="25A4994E" w:rsidR="00791616" w:rsidRPr="00791616" w:rsidRDefault="00791616" w:rsidP="00791616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79161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Fig. 1 </w:t>
                            </w:r>
                            <w:r w:rsidRPr="0079161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– Distribuição mundial de </w:t>
                            </w:r>
                            <w:r w:rsidRPr="00791616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T. </w:t>
                            </w:r>
                            <w:proofErr w:type="spellStart"/>
                            <w:r w:rsidRPr="00791616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annulata</w:t>
                            </w:r>
                            <w:proofErr w:type="spellEnd"/>
                            <w:r w:rsidRPr="00791616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79161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Adaptado de</w:t>
                            </w:r>
                            <w:r w:rsidRPr="0079161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proofErr w:type="spellStart"/>
                            <w:r w:rsidRPr="0079161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Kiara</w:t>
                            </w:r>
                            <w:proofErr w:type="spellEnd"/>
                            <w:r w:rsidRPr="0079161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9161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et</w:t>
                            </w:r>
                            <w:proofErr w:type="spellEnd"/>
                            <w:r w:rsidRPr="0079161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al., 2018).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ED545" id="_x0000_t202" coordsize="21600,21600" o:spt="202" path="m,l,21600r21600,l21600,xe">
                <v:stroke joinstyle="miter"/>
                <v:path gradientshapeok="t" o:connecttype="rect"/>
              </v:shapetype>
              <v:shape id="CaixaDeTexto 1" o:spid="_x0000_s1026" type="#_x0000_t202" style="position:absolute;left:0;text-align:left;margin-left:12.6pt;margin-top:4.5pt;width:297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" filled="f" stroked="f">
                <v:textbox>
                  <w:txbxContent>
                    <w:p w14:paraId="3439F2C0" w14:textId="25A4994E" w:rsidR="00791616" w:rsidRPr="00791616" w:rsidRDefault="00791616" w:rsidP="00791616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79161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Fig. 1 </w:t>
                      </w:r>
                      <w:r w:rsidRPr="0079161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– Distribuição mundial de </w:t>
                      </w:r>
                      <w:r w:rsidRPr="00791616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T. </w:t>
                      </w:r>
                      <w:proofErr w:type="spellStart"/>
                      <w:r w:rsidRPr="00791616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annulata</w:t>
                      </w:r>
                      <w:proofErr w:type="spellEnd"/>
                      <w:r w:rsidRPr="00791616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791616">
                        <w:rPr>
                          <w:rFonts w:hAnsi="Calibri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Adaptado de</w:t>
                      </w:r>
                      <w:r w:rsidRPr="0079161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: </w:t>
                      </w:r>
                      <w:proofErr w:type="spellStart"/>
                      <w:r w:rsidRPr="00791616">
                        <w:rPr>
                          <w:rFonts w:hAnsi="Calibri"/>
                          <w:color w:val="000000" w:themeColor="text1"/>
                          <w:kern w:val="24"/>
                        </w:rPr>
                        <w:t>Kiara</w:t>
                      </w:r>
                      <w:proofErr w:type="spellEnd"/>
                      <w:r w:rsidRPr="0079161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791616">
                        <w:rPr>
                          <w:rFonts w:hAnsi="Calibri"/>
                          <w:color w:val="000000" w:themeColor="text1"/>
                          <w:kern w:val="24"/>
                        </w:rPr>
                        <w:t>et</w:t>
                      </w:r>
                      <w:proofErr w:type="spellEnd"/>
                      <w:r w:rsidRPr="0079161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al., 2018).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7A4232" w14:textId="787902FD" w:rsidR="00C0192F" w:rsidRDefault="00C0192F" w:rsidP="00D05002">
      <w:pPr>
        <w:jc w:val="both"/>
      </w:pPr>
    </w:p>
    <w:p w14:paraId="0F428239" w14:textId="047D4B66" w:rsidR="00FF2C6C" w:rsidRDefault="00E64876" w:rsidP="00C0192F">
      <w:pPr>
        <w:spacing w:after="0" w:line="240" w:lineRule="auto"/>
        <w:jc w:val="both"/>
      </w:pPr>
      <w:r>
        <w:t xml:space="preserve">Em Portugal, está descrita a sua transmissão </w:t>
      </w:r>
      <w:r w:rsidR="00E907CE">
        <w:t xml:space="preserve">por carraças das espécies </w:t>
      </w:r>
      <w:proofErr w:type="spellStart"/>
      <w:r w:rsidR="00E907CE" w:rsidRPr="00E907CE">
        <w:rPr>
          <w:i/>
          <w:iCs/>
        </w:rPr>
        <w:t>Hyalomma</w:t>
      </w:r>
      <w:proofErr w:type="spellEnd"/>
      <w:r w:rsidR="00E907CE" w:rsidRPr="00E907CE">
        <w:rPr>
          <w:i/>
          <w:iCs/>
        </w:rPr>
        <w:t xml:space="preserve"> </w:t>
      </w:r>
      <w:proofErr w:type="spellStart"/>
      <w:r w:rsidR="00E907CE" w:rsidRPr="00E907CE">
        <w:rPr>
          <w:i/>
          <w:iCs/>
        </w:rPr>
        <w:t>lusitanicum</w:t>
      </w:r>
      <w:proofErr w:type="spellEnd"/>
      <w:r w:rsidR="00E907CE">
        <w:t xml:space="preserve"> e </w:t>
      </w:r>
      <w:proofErr w:type="spellStart"/>
      <w:r w:rsidR="00E907CE" w:rsidRPr="00E907CE">
        <w:rPr>
          <w:i/>
          <w:iCs/>
        </w:rPr>
        <w:t>Hyalomma</w:t>
      </w:r>
      <w:proofErr w:type="spellEnd"/>
      <w:r w:rsidR="00E907CE" w:rsidRPr="00E907CE">
        <w:rPr>
          <w:i/>
          <w:iCs/>
        </w:rPr>
        <w:t xml:space="preserve"> </w:t>
      </w:r>
      <w:proofErr w:type="spellStart"/>
      <w:r w:rsidR="00E907CE" w:rsidRPr="00E907CE">
        <w:rPr>
          <w:i/>
          <w:iCs/>
        </w:rPr>
        <w:t>marginatum</w:t>
      </w:r>
      <w:proofErr w:type="spellEnd"/>
      <w:r w:rsidR="00333B92">
        <w:t>.</w:t>
      </w:r>
      <w:r w:rsidR="005049E3">
        <w:t xml:space="preserve"> A distribuição geográfica destas carraças está diretamente relacionada com a prevalência da doença. Assim, a Teileriose Tropical é também designada Teileriose Mediterrânica, pois é muito comum em países que fazem fronteira com o mar Mediterrâneo.</w:t>
      </w:r>
      <w:r w:rsidR="009B5C27">
        <w:t xml:space="preserve"> Além do seu impacto na produtividade e mortalidade</w:t>
      </w:r>
      <w:r w:rsidR="00333B92">
        <w:t xml:space="preserve"> </w:t>
      </w:r>
      <w:r w:rsidR="009A7448">
        <w:t>n</w:t>
      </w:r>
      <w:r w:rsidR="00333B92">
        <w:t>as explorações pecuárias</w:t>
      </w:r>
      <w:r w:rsidR="009B5C27">
        <w:t xml:space="preserve">, a Teileriose Tropical também limita a implementação de Programas de Melhoramento </w:t>
      </w:r>
      <w:r w:rsidR="0002287D">
        <w:t xml:space="preserve">Genético </w:t>
      </w:r>
      <w:r w:rsidR="009B5C27">
        <w:t>de diferentes raças, incluindo as raças autóctones portuguesas.</w:t>
      </w:r>
    </w:p>
    <w:p w14:paraId="08F43CFB" w14:textId="17D806F8" w:rsidR="009B5C27" w:rsidRDefault="009B5C27" w:rsidP="00C0192F">
      <w:pPr>
        <w:spacing w:after="0" w:line="240" w:lineRule="auto"/>
        <w:jc w:val="both"/>
      </w:pPr>
      <w:r>
        <w:t xml:space="preserve">Alguns trabalhos científicos demonstram que as alterações climáticas </w:t>
      </w:r>
      <w:r w:rsidR="000C1702">
        <w:t>estarão</w:t>
      </w:r>
      <w:r>
        <w:t xml:space="preserve"> a promover um aumento do risco de surtos de doenças parasitárias, pelo que o seu controlo é uma das prioridades globais mais importantes para </w:t>
      </w:r>
      <w:r w:rsidR="000941C6">
        <w:t xml:space="preserve">a </w:t>
      </w:r>
      <w:r>
        <w:t>produção pecuária eficiente</w:t>
      </w:r>
      <w:r w:rsidR="000C1702">
        <w:t>. Atualmente, existem algumas estratégias de controlo da Teileriose Tropical, tais como a administração de vacinas baseadas em células ou terapêuticas químicas. No entanto, nenhuma destas opções nos permite erradicar a doença. Por outro lado, o controlo de carraças com recurso a produtos químicos tem-se tornado insustentável</w:t>
      </w:r>
      <w:r w:rsidR="001B6644">
        <w:t>,</w:t>
      </w:r>
      <w:r w:rsidR="000C1702">
        <w:t xml:space="preserve"> devido ao aumento da resistência</w:t>
      </w:r>
      <w:r w:rsidR="006E69D7">
        <w:t xml:space="preserve"> por parte dos parasitas</w:t>
      </w:r>
      <w:r w:rsidR="000C1702">
        <w:t xml:space="preserve"> e das preocupações com o ambiente e a segurança alimentar. Assim sendo, será necessário o desenvolvimento de novas estratégias </w:t>
      </w:r>
      <w:r w:rsidR="006E69D7">
        <w:t xml:space="preserve">de controlo </w:t>
      </w:r>
      <w:r w:rsidR="000C1702">
        <w:t>sustentáveis, as quais poderão ter por base a resistência</w:t>
      </w:r>
      <w:r w:rsidR="0002287D">
        <w:t xml:space="preserve"> genética</w:t>
      </w:r>
      <w:r w:rsidR="000C1702">
        <w:t xml:space="preserve"> </w:t>
      </w:r>
      <w:r w:rsidR="001B6644">
        <w:t>d</w:t>
      </w:r>
      <w:r w:rsidR="0002287D">
        <w:t>e</w:t>
      </w:r>
      <w:r w:rsidR="001B6644">
        <w:t xml:space="preserve"> animais de raças autóctones de regiões endémicas. </w:t>
      </w:r>
      <w:r w:rsidR="0053254B">
        <w:t xml:space="preserve">Para isso, </w:t>
      </w:r>
      <w:r w:rsidR="001B6644">
        <w:t>de</w:t>
      </w:r>
      <w:r w:rsidR="0053254B">
        <w:t>ve</w:t>
      </w:r>
      <w:r w:rsidR="001B6644">
        <w:t xml:space="preserve">rão ser identificados marcadores genéticos de resistência à </w:t>
      </w:r>
      <w:r w:rsidR="006E69D7">
        <w:t xml:space="preserve">infeção </w:t>
      </w:r>
      <w:r w:rsidR="009A7448">
        <w:t>por</w:t>
      </w:r>
      <w:r w:rsidR="006E69D7">
        <w:t xml:space="preserve"> </w:t>
      </w:r>
      <w:r w:rsidR="001B6644">
        <w:t>Teileriose Tropical que poderão ser introduzidos em Programas de Melhoramento d</w:t>
      </w:r>
      <w:r w:rsidR="0053254B">
        <w:t>est</w:t>
      </w:r>
      <w:r w:rsidR="001B6644">
        <w:t xml:space="preserve">as raças, enquanto estratégia complementar às terapêuticas referidas, </w:t>
      </w:r>
      <w:r w:rsidR="0002287D">
        <w:t>s</w:t>
      </w:r>
      <w:r w:rsidR="001B6644">
        <w:t>e</w:t>
      </w:r>
      <w:r w:rsidR="0002287D">
        <w:t>ndo</w:t>
      </w:r>
      <w:r w:rsidR="001B6644">
        <w:t xml:space="preserve"> sustentável a longo prazo.</w:t>
      </w:r>
    </w:p>
    <w:p w14:paraId="4B8308E4" w14:textId="77777777" w:rsidR="00383011" w:rsidRDefault="00383011" w:rsidP="00D05002">
      <w:pPr>
        <w:jc w:val="both"/>
        <w:rPr>
          <w:b/>
          <w:bCs/>
        </w:rPr>
      </w:pPr>
    </w:p>
    <w:p w14:paraId="744031EE" w14:textId="77777777" w:rsidR="00383011" w:rsidRDefault="00383011" w:rsidP="00D05002">
      <w:pPr>
        <w:jc w:val="both"/>
        <w:rPr>
          <w:b/>
          <w:bCs/>
        </w:rPr>
      </w:pPr>
    </w:p>
    <w:p w14:paraId="6B5C2C44" w14:textId="77777777" w:rsidR="00383011" w:rsidRDefault="00383011" w:rsidP="00D05002">
      <w:pPr>
        <w:jc w:val="both"/>
        <w:rPr>
          <w:b/>
          <w:bCs/>
        </w:rPr>
      </w:pPr>
    </w:p>
    <w:p w14:paraId="0CED50C2" w14:textId="77777777" w:rsidR="00383011" w:rsidRDefault="00383011" w:rsidP="00D05002">
      <w:pPr>
        <w:jc w:val="both"/>
        <w:rPr>
          <w:b/>
          <w:bCs/>
        </w:rPr>
      </w:pPr>
    </w:p>
    <w:p w14:paraId="35E8EFDC" w14:textId="77777777" w:rsidR="00383011" w:rsidRDefault="00383011" w:rsidP="00D05002">
      <w:pPr>
        <w:jc w:val="both"/>
        <w:rPr>
          <w:b/>
          <w:bCs/>
        </w:rPr>
      </w:pPr>
    </w:p>
    <w:p w14:paraId="61C4A5B2" w14:textId="77777777" w:rsidR="00383011" w:rsidRDefault="00383011" w:rsidP="00D05002">
      <w:pPr>
        <w:jc w:val="both"/>
        <w:rPr>
          <w:b/>
          <w:bCs/>
        </w:rPr>
      </w:pPr>
    </w:p>
    <w:p w14:paraId="65ACDDF8" w14:textId="77777777" w:rsidR="00383011" w:rsidRDefault="00383011" w:rsidP="00D05002">
      <w:pPr>
        <w:jc w:val="both"/>
        <w:rPr>
          <w:b/>
          <w:bCs/>
        </w:rPr>
      </w:pPr>
    </w:p>
    <w:p w14:paraId="424280E1" w14:textId="77777777" w:rsidR="00383011" w:rsidRDefault="00383011" w:rsidP="00D05002">
      <w:pPr>
        <w:jc w:val="both"/>
        <w:rPr>
          <w:b/>
          <w:bCs/>
        </w:rPr>
      </w:pPr>
    </w:p>
    <w:p w14:paraId="227EA40F" w14:textId="33CC5E18" w:rsidR="00F80A27" w:rsidRPr="00F80A27" w:rsidRDefault="00F80A27" w:rsidP="00D05002">
      <w:pPr>
        <w:jc w:val="both"/>
        <w:rPr>
          <w:b/>
          <w:bCs/>
        </w:rPr>
      </w:pPr>
      <w:r w:rsidRPr="00F80A27">
        <w:rPr>
          <w:b/>
          <w:bCs/>
        </w:rPr>
        <w:lastRenderedPageBreak/>
        <w:t>A resistência genética como mecanismo de controlo</w:t>
      </w:r>
    </w:p>
    <w:p w14:paraId="03F293D7" w14:textId="76B08F94" w:rsidR="0053254B" w:rsidRDefault="00B624F9" w:rsidP="00383011">
      <w:pPr>
        <w:spacing w:after="0" w:line="240" w:lineRule="auto"/>
        <w:jc w:val="both"/>
      </w:pPr>
      <w:r w:rsidRPr="00791616">
        <w:rPr>
          <w:noProof/>
          <w:lang w:eastAsia="pt-PT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E2A822" wp14:editId="6E073E93">
                <wp:simplePos x="0" y="0"/>
                <wp:positionH relativeFrom="margin">
                  <wp:align>left</wp:align>
                </wp:positionH>
                <wp:positionV relativeFrom="paragraph">
                  <wp:posOffset>2115820</wp:posOffset>
                </wp:positionV>
                <wp:extent cx="3169920" cy="381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83229108" name="CaixaDe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492D79" w14:textId="1BB33814" w:rsidR="00B624F9" w:rsidRPr="00B624F9" w:rsidRDefault="00B624F9" w:rsidP="00B624F9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B624F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Fig. 2 </w:t>
                            </w:r>
                            <w:r w:rsidRPr="00B624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– Bovino de raça Alentejana</w:t>
                            </w:r>
                            <w:r w:rsidRPr="00B624F9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624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(ACBRA, s.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d.</w:t>
                            </w:r>
                            <w:r w:rsidRPr="00B624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).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A822" id="_x0000_s1027" type="#_x0000_t202" style="position:absolute;left:0;text-align:left;margin-left:0;margin-top:166.6pt;width:249.6pt;height:30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" filled="f" stroked="f">
                <v:textbox>
                  <w:txbxContent>
                    <w:p w14:paraId="39492D79" w14:textId="1BB33814" w:rsidR="00B624F9" w:rsidRPr="00B624F9" w:rsidRDefault="00B624F9" w:rsidP="00B624F9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B624F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Fig. 2 </w:t>
                      </w:r>
                      <w:r w:rsidRPr="00B624F9">
                        <w:rPr>
                          <w:rFonts w:hAnsi="Calibri"/>
                          <w:color w:val="000000" w:themeColor="text1"/>
                          <w:kern w:val="24"/>
                        </w:rPr>
                        <w:t>– Bovino de raça Alentejana</w:t>
                      </w:r>
                      <w:r w:rsidRPr="00B624F9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B624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(ACBRA, s.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d.</w:t>
                      </w:r>
                      <w:r w:rsidRPr="00B624F9">
                        <w:rPr>
                          <w:rFonts w:hAnsi="Calibri"/>
                          <w:color w:val="000000" w:themeColor="text1"/>
                          <w:kern w:val="24"/>
                        </w:rPr>
                        <w:t>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pt-PT" w:bidi="ar-SA"/>
        </w:rPr>
        <w:drawing>
          <wp:anchor distT="0" distB="0" distL="114300" distR="114300" simplePos="0" relativeHeight="251664384" behindDoc="1" locked="0" layoutInCell="1" allowOverlap="1" wp14:anchorId="0CB78F62" wp14:editId="79AD7D1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162300" cy="2108835"/>
            <wp:effectExtent l="0" t="0" r="0" b="5715"/>
            <wp:wrapTight wrapText="bothSides">
              <wp:wrapPolygon edited="0">
                <wp:start x="0" y="0"/>
                <wp:lineTo x="0" y="21463"/>
                <wp:lineTo x="21470" y="21463"/>
                <wp:lineTo x="21470" y="0"/>
                <wp:lineTo x="0" y="0"/>
              </wp:wrapPolygon>
            </wp:wrapTight>
            <wp:docPr id="1621853304" name="Imagem 2" descr="Associação de Criadores de Bovinos de Raça Alente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ção de Criadores de Bovinos de Raça Alentej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42" cy="21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9D7">
        <w:t xml:space="preserve">A resistência genética a doenças é expressa pela diferença </w:t>
      </w:r>
      <w:r w:rsidR="00030BA4">
        <w:t>na capacidade do hospedeiro interagir e controlar o cre</w:t>
      </w:r>
      <w:r w:rsidR="009A7448">
        <w:t>s</w:t>
      </w:r>
      <w:r w:rsidR="00030BA4">
        <w:t>cimento e desenvolvimento de um agente patogénico</w:t>
      </w:r>
      <w:r w:rsidR="009A7448">
        <w:t>.</w:t>
      </w:r>
      <w:r w:rsidR="005E7E85">
        <w:t xml:space="preserve"> Atualmente, já existem </w:t>
      </w:r>
      <w:r w:rsidR="0053254B">
        <w:t xml:space="preserve">alguns estudos comparativos </w:t>
      </w:r>
      <w:r w:rsidR="00072C5F">
        <w:t xml:space="preserve">entre </w:t>
      </w:r>
      <w:r w:rsidR="005E7E85">
        <w:t>várias raças</w:t>
      </w:r>
      <w:r w:rsidR="00072C5F">
        <w:t xml:space="preserve"> que demonstram haver diferenças genéticas na resposta imunitária a uma doença</w:t>
      </w:r>
      <w:r w:rsidR="005E7E85">
        <w:t xml:space="preserve">, nomeadamente </w:t>
      </w:r>
      <w:r w:rsidR="0053254B">
        <w:t>entre bovinos da raça Holstein (</w:t>
      </w:r>
      <w:r w:rsidR="0053254B" w:rsidRPr="0053254B">
        <w:rPr>
          <w:i/>
          <w:iCs/>
        </w:rPr>
        <w:t>Bos taurus</w:t>
      </w:r>
      <w:r w:rsidR="0053254B">
        <w:t xml:space="preserve">), muito utilizada em todo o mundo para a produção de leite, e bovinos da raça </w:t>
      </w:r>
      <w:proofErr w:type="spellStart"/>
      <w:r w:rsidR="0053254B">
        <w:t>Sahiwal</w:t>
      </w:r>
      <w:proofErr w:type="spellEnd"/>
      <w:r w:rsidR="0053254B">
        <w:t xml:space="preserve"> (</w:t>
      </w:r>
      <w:proofErr w:type="spellStart"/>
      <w:r w:rsidR="0053254B" w:rsidRPr="00F47B63">
        <w:rPr>
          <w:i/>
          <w:iCs/>
        </w:rPr>
        <w:t>Bos</w:t>
      </w:r>
      <w:proofErr w:type="spellEnd"/>
      <w:r w:rsidR="0053254B" w:rsidRPr="00F47B63">
        <w:rPr>
          <w:i/>
          <w:iCs/>
        </w:rPr>
        <w:t xml:space="preserve"> </w:t>
      </w:r>
      <w:proofErr w:type="spellStart"/>
      <w:r w:rsidR="0053254B" w:rsidRPr="00F47B63">
        <w:rPr>
          <w:i/>
          <w:iCs/>
        </w:rPr>
        <w:t>indicus</w:t>
      </w:r>
      <w:proofErr w:type="spellEnd"/>
      <w:r w:rsidR="0053254B">
        <w:t xml:space="preserve">), com origem no Paquistão, que é uma região endémica de </w:t>
      </w:r>
      <w:r w:rsidR="0053254B" w:rsidRPr="00F47B63">
        <w:rPr>
          <w:i/>
          <w:iCs/>
        </w:rPr>
        <w:t xml:space="preserve">T. </w:t>
      </w:r>
      <w:proofErr w:type="spellStart"/>
      <w:r w:rsidR="0053254B" w:rsidRPr="00F47B63">
        <w:rPr>
          <w:i/>
          <w:iCs/>
        </w:rPr>
        <w:t>annulata</w:t>
      </w:r>
      <w:proofErr w:type="spellEnd"/>
      <w:r w:rsidR="0053254B">
        <w:t>.</w:t>
      </w:r>
      <w:r w:rsidR="0028130E">
        <w:t xml:space="preserve"> Estes demonstraram que a raça </w:t>
      </w:r>
      <w:proofErr w:type="spellStart"/>
      <w:r w:rsidR="0028130E">
        <w:t>Sahiwal</w:t>
      </w:r>
      <w:proofErr w:type="spellEnd"/>
      <w:r w:rsidR="0028130E">
        <w:t xml:space="preserve"> é mais resistente à Teileriose Tropical. </w:t>
      </w:r>
      <w:r w:rsidR="00030BA4">
        <w:t>Em Portugal</w:t>
      </w:r>
      <w:r w:rsidR="005E7E85">
        <w:t xml:space="preserve">, </w:t>
      </w:r>
      <w:r w:rsidR="0028130E">
        <w:t xml:space="preserve">foi desenvolvido um estudo com objetivo de </w:t>
      </w:r>
      <w:r w:rsidR="00555324">
        <w:t xml:space="preserve">avaliar </w:t>
      </w:r>
      <w:r w:rsidR="0028130E">
        <w:t xml:space="preserve">a capacidade das raças bovinas autóctones portuguesas, nomeadamente, as raças Alentejana </w:t>
      </w:r>
      <w:r>
        <w:t xml:space="preserve">(Fig. 2) </w:t>
      </w:r>
      <w:r w:rsidR="0028130E">
        <w:t>e Mertolenga</w:t>
      </w:r>
      <w:r>
        <w:t xml:space="preserve"> (Fig. 3)</w:t>
      </w:r>
      <w:r w:rsidR="0028130E">
        <w:t xml:space="preserve">, </w:t>
      </w:r>
      <w:r w:rsidR="00940DA1">
        <w:t>serem resistentes</w:t>
      </w:r>
      <w:r w:rsidR="0028130E">
        <w:t xml:space="preserve"> à Teileriose Tropical.</w:t>
      </w:r>
      <w:r w:rsidRPr="00B624F9">
        <w:rPr>
          <w:noProof/>
        </w:rPr>
        <w:t xml:space="preserve"> </w:t>
      </w:r>
    </w:p>
    <w:p w14:paraId="63994EEF" w14:textId="7F84C6C1" w:rsidR="009B5C27" w:rsidRDefault="00B624F9" w:rsidP="00383011">
      <w:pPr>
        <w:spacing w:after="0" w:line="240" w:lineRule="auto"/>
        <w:jc w:val="both"/>
      </w:pPr>
      <w:r w:rsidRPr="00791616">
        <w:rPr>
          <w:noProof/>
          <w:lang w:eastAsia="pt-PT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7344B5" wp14:editId="130BDE59">
                <wp:simplePos x="0" y="0"/>
                <wp:positionH relativeFrom="margin">
                  <wp:align>right</wp:align>
                </wp:positionH>
                <wp:positionV relativeFrom="paragraph">
                  <wp:posOffset>1743075</wp:posOffset>
                </wp:positionV>
                <wp:extent cx="3169920" cy="381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15076396" name="CaixaDe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9849E7" w14:textId="01D6CAF1" w:rsidR="00B624F9" w:rsidRPr="00B624F9" w:rsidRDefault="00B624F9" w:rsidP="00B624F9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B624F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Fig.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Pr="00B624F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624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– Bovino de raça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Mertoleng</w:t>
                            </w:r>
                            <w:r w:rsidRPr="00B624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Pr="00B624F9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624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(ACB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</w:t>
                            </w:r>
                            <w:r w:rsidRPr="00B624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, s.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d.</w:t>
                            </w:r>
                            <w:r w:rsidRPr="00B624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).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344B5" id="_x0000_s1028" type="#_x0000_t202" style="position:absolute;left:0;text-align:left;margin-left:198.4pt;margin-top:137.25pt;width:249.6pt;height:30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" filled="f" stroked="f">
                <v:textbox>
                  <w:txbxContent>
                    <w:p w14:paraId="289849E7" w14:textId="01D6CAF1" w:rsidR="00B624F9" w:rsidRPr="00B624F9" w:rsidRDefault="00B624F9" w:rsidP="00B624F9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B624F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Fig.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3</w:t>
                      </w:r>
                      <w:r w:rsidRPr="00B624F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B624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– Bovino de raça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Mertoleng</w:t>
                      </w:r>
                      <w:r w:rsidRPr="00B624F9">
                        <w:rPr>
                          <w:rFonts w:hAnsi="Calibri"/>
                          <w:color w:val="000000" w:themeColor="text1"/>
                          <w:kern w:val="24"/>
                        </w:rPr>
                        <w:t>a</w:t>
                      </w:r>
                      <w:r w:rsidRPr="00B624F9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B624F9">
                        <w:rPr>
                          <w:rFonts w:hAnsi="Calibri"/>
                          <w:color w:val="000000" w:themeColor="text1"/>
                          <w:kern w:val="24"/>
                        </w:rPr>
                        <w:t>(ACB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</w:t>
                      </w:r>
                      <w:r w:rsidRPr="00B624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, s.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d.</w:t>
                      </w:r>
                      <w:r w:rsidRPr="00B624F9">
                        <w:rPr>
                          <w:rFonts w:hAnsi="Calibri"/>
                          <w:color w:val="000000" w:themeColor="text1"/>
                          <w:kern w:val="24"/>
                        </w:rPr>
                        <w:t>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624F9">
        <w:rPr>
          <w:noProof/>
          <w:lang w:eastAsia="pt-PT" w:bidi="ar-SA"/>
        </w:rPr>
        <w:drawing>
          <wp:anchor distT="0" distB="0" distL="114300" distR="114300" simplePos="0" relativeHeight="251667456" behindDoc="1" locked="0" layoutInCell="1" allowOverlap="1" wp14:anchorId="6AD1CE31" wp14:editId="25D590E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197225" cy="1648460"/>
            <wp:effectExtent l="0" t="0" r="3175" b="8890"/>
            <wp:wrapTight wrapText="bothSides">
              <wp:wrapPolygon edited="0">
                <wp:start x="0" y="0"/>
                <wp:lineTo x="0" y="21467"/>
                <wp:lineTo x="21493" y="21467"/>
                <wp:lineTo x="21493" y="0"/>
                <wp:lineTo x="0" y="0"/>
              </wp:wrapPolygon>
            </wp:wrapTight>
            <wp:docPr id="847059513" name="Imagem 1" descr="Uma imagem com ar livre, relva, gado, vac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59513" name="Imagem 1" descr="Uma imagem com ar livre, relva, gado, vaca&#10;&#10;Os conteúdos gerados por IA poderão estar incorretos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710">
        <w:t>Os mecanismos de resistência a doenças estão intrinsecamente relacionados com a modulação da resposta imunitária à infeção. Além disso, parecem estar também associados à gravidade da manifestação dos sinais clínicos de animais doentes, à exuberância da resposta imunitária à infeção e à expressão dos genes identificados como candidatos entre as diferentes raças.</w:t>
      </w:r>
      <w:r w:rsidR="00952B2F">
        <w:t xml:space="preserve"> A avaliação genética dos animais baseada em métodos tradicionais tem muitas limitações, essencialmente quando pretendemos analisar características que se manifestam muito tarde ou depois da morte do animal. Por esse motivo, </w:t>
      </w:r>
      <w:r w:rsidR="00F80A27">
        <w:t xml:space="preserve">neste trabalho </w:t>
      </w:r>
      <w:r w:rsidR="00952B2F">
        <w:t>foram utilizadas técnicas de genética molecular, que permitem a implementação de programas de seleção assistida por marcadores moleculares, e que permitem analisar milhares de marcadores genéticos de uma só vez.</w:t>
      </w:r>
      <w:r w:rsidR="00C747D9">
        <w:t xml:space="preserve"> Assim, foram analisados genes polimórficos, que parecem estar associados a variações na resposta de diferentes indivíduos </w:t>
      </w:r>
      <w:r w:rsidR="00B807A2">
        <w:t>quando infetados por diferentes agentes patogénicos.</w:t>
      </w:r>
    </w:p>
    <w:p w14:paraId="23C9C9FC" w14:textId="77777777" w:rsidR="00383011" w:rsidRDefault="00383011" w:rsidP="00383011">
      <w:pPr>
        <w:spacing w:after="0" w:line="240" w:lineRule="auto"/>
        <w:jc w:val="both"/>
      </w:pPr>
    </w:p>
    <w:p w14:paraId="4F186E98" w14:textId="72E8DB41" w:rsidR="00F80A27" w:rsidRPr="00F80A27" w:rsidRDefault="00F80A27" w:rsidP="00383011">
      <w:pPr>
        <w:spacing w:after="0" w:line="240" w:lineRule="auto"/>
        <w:jc w:val="both"/>
        <w:rPr>
          <w:b/>
          <w:bCs/>
        </w:rPr>
      </w:pPr>
      <w:r w:rsidRPr="00F80A27">
        <w:rPr>
          <w:b/>
          <w:bCs/>
        </w:rPr>
        <w:t>Diferenças na suscetibilidade à doença</w:t>
      </w:r>
    </w:p>
    <w:p w14:paraId="6A2AD453" w14:textId="064B6044" w:rsidR="00CC445A" w:rsidRDefault="00244CA1" w:rsidP="00383011">
      <w:pPr>
        <w:spacing w:after="0" w:line="240" w:lineRule="auto"/>
        <w:jc w:val="both"/>
      </w:pPr>
      <w:r>
        <w:t xml:space="preserve">Na identificação de genes capazes de controlar as diferentes suscetibilidades a uma doença, com base na genética molecular, é necessário identificar, em primeiro lugar, animais com resposta distinta a essa mesma doença, o que será expresso através do seu fenótipo. Neste trabalho, definimos como animais suscetíveis os que se encontravam infetados por </w:t>
      </w:r>
      <w:r w:rsidRPr="00027622">
        <w:rPr>
          <w:i/>
          <w:iCs/>
        </w:rPr>
        <w:t xml:space="preserve">T. </w:t>
      </w:r>
      <w:proofErr w:type="spellStart"/>
      <w:r w:rsidRPr="00027622">
        <w:rPr>
          <w:i/>
          <w:iCs/>
        </w:rPr>
        <w:t>annulata</w:t>
      </w:r>
      <w:proofErr w:type="spellEnd"/>
      <w:r>
        <w:t xml:space="preserve"> e como animais resistentes </w:t>
      </w:r>
      <w:r w:rsidR="00027622">
        <w:t xml:space="preserve">os que se encontravam negativos à presença deste </w:t>
      </w:r>
      <w:proofErr w:type="spellStart"/>
      <w:r w:rsidR="00027622">
        <w:t>hemoparasita</w:t>
      </w:r>
      <w:proofErr w:type="spellEnd"/>
      <w:r w:rsidR="00027622">
        <w:t>.</w:t>
      </w:r>
      <w:r w:rsidR="00C65658">
        <w:t xml:space="preserve"> Para isso, foram colhidas amostras de sangue, selecionadas aleatoriamente, entre novembro de 2018 e dezembro de 2019, de </w:t>
      </w:r>
      <w:r w:rsidR="00CD10AB">
        <w:t>843 bovinos (</w:t>
      </w:r>
      <w:r w:rsidR="00C65658">
        <w:t>420 de raça Alentejana e 423 de raça Mertolenga</w:t>
      </w:r>
      <w:r w:rsidR="00CD10AB">
        <w:t>)</w:t>
      </w:r>
      <w:r w:rsidR="00C65658">
        <w:t>.</w:t>
      </w:r>
      <w:r w:rsidR="00CD10AB">
        <w:t xml:space="preserve"> As amostras foram sujeitas a extração de ADN com </w:t>
      </w:r>
      <w:proofErr w:type="spellStart"/>
      <w:r w:rsidR="00CD10AB">
        <w:t>Cytogene®Blood</w:t>
      </w:r>
      <w:proofErr w:type="spellEnd"/>
      <w:r w:rsidR="00CD10AB">
        <w:t xml:space="preserve"> Kit (Índia, </w:t>
      </w:r>
      <w:proofErr w:type="spellStart"/>
      <w:r w:rsidR="00CD10AB">
        <w:t>Cytogene</w:t>
      </w:r>
      <w:proofErr w:type="spellEnd"/>
      <w:r w:rsidR="00CD10AB">
        <w:t xml:space="preserve">) </w:t>
      </w:r>
      <w:r w:rsidR="003A5E9A">
        <w:t xml:space="preserve">(Fig. </w:t>
      </w:r>
      <w:r w:rsidR="00B624F9">
        <w:t>4</w:t>
      </w:r>
      <w:r w:rsidR="003A5E9A">
        <w:t xml:space="preserve">) </w:t>
      </w:r>
      <w:r w:rsidR="00CD10AB">
        <w:t xml:space="preserve">e </w:t>
      </w:r>
      <w:r w:rsidR="00CD10AB">
        <w:lastRenderedPageBreak/>
        <w:t xml:space="preserve">a </w:t>
      </w:r>
      <w:r w:rsidR="003A5E9A">
        <w:rPr>
          <w:noProof/>
          <w:lang w:eastAsia="pt-PT" w:bidi="ar-SA"/>
        </w:rPr>
        <w:drawing>
          <wp:anchor distT="0" distB="0" distL="114300" distR="114300" simplePos="0" relativeHeight="251661312" behindDoc="1" locked="0" layoutInCell="1" allowOverlap="1" wp14:anchorId="5F5FA24E" wp14:editId="44284B6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3572510" cy="2493645"/>
            <wp:effectExtent l="0" t="0" r="8890" b="1905"/>
            <wp:wrapTight wrapText="bothSides">
              <wp:wrapPolygon edited="0">
                <wp:start x="0" y="0"/>
                <wp:lineTo x="0" y="21451"/>
                <wp:lineTo x="21539" y="21451"/>
                <wp:lineTo x="21539" y="0"/>
                <wp:lineTo x="0" y="0"/>
              </wp:wrapPolygon>
            </wp:wrapTight>
            <wp:docPr id="1527161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0AB">
        <w:t xml:space="preserve">presença de </w:t>
      </w:r>
      <w:r w:rsidR="00CD10AB" w:rsidRPr="00CD10AB">
        <w:rPr>
          <w:i/>
          <w:iCs/>
        </w:rPr>
        <w:t xml:space="preserve">T. </w:t>
      </w:r>
      <w:proofErr w:type="spellStart"/>
      <w:r w:rsidR="00CD10AB" w:rsidRPr="00CD10AB">
        <w:rPr>
          <w:i/>
          <w:iCs/>
        </w:rPr>
        <w:t>annulata</w:t>
      </w:r>
      <w:proofErr w:type="spellEnd"/>
      <w:r w:rsidR="00CD10AB">
        <w:t xml:space="preserve"> foi detetada com recurso à amplificação de um fragmento de um gene (</w:t>
      </w:r>
      <w:proofErr w:type="spellStart"/>
      <w:r w:rsidR="00CD10AB" w:rsidRPr="00CD10AB">
        <w:rPr>
          <w:i/>
          <w:iCs/>
        </w:rPr>
        <w:t>Tams</w:t>
      </w:r>
      <w:proofErr w:type="spellEnd"/>
      <w:r w:rsidR="00CD10AB" w:rsidRPr="00CD10AB">
        <w:rPr>
          <w:i/>
          <w:iCs/>
        </w:rPr>
        <w:t xml:space="preserve"> 1</w:t>
      </w:r>
      <w:r w:rsidR="00CD10AB">
        <w:t xml:space="preserve">) que codifica uma proteína de superfície do merozoito da </w:t>
      </w:r>
      <w:r w:rsidR="00CD10AB" w:rsidRPr="00CD10AB">
        <w:rPr>
          <w:i/>
          <w:iCs/>
        </w:rPr>
        <w:t xml:space="preserve">T. </w:t>
      </w:r>
      <w:proofErr w:type="spellStart"/>
      <w:r w:rsidR="00CD10AB" w:rsidRPr="00CD10AB">
        <w:rPr>
          <w:i/>
          <w:iCs/>
        </w:rPr>
        <w:t>annulata</w:t>
      </w:r>
      <w:proofErr w:type="spellEnd"/>
      <w:r w:rsidR="00CD10AB">
        <w:t xml:space="preserve">. Assim, verificou-se que 10,8% dos animais em estudo se encontravam positivos, o que é uma prevalência inferior à de um estudo anterior (21,3%), realizado em Portugal, no qual </w:t>
      </w:r>
      <w:r w:rsidR="003A5E9A" w:rsidRPr="00791616">
        <w:rPr>
          <w:noProof/>
          <w:lang w:eastAsia="pt-PT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D0F662" wp14:editId="23F3E536">
                <wp:simplePos x="0" y="0"/>
                <wp:positionH relativeFrom="margin">
                  <wp:align>left</wp:align>
                </wp:positionH>
                <wp:positionV relativeFrom="paragraph">
                  <wp:posOffset>2512695</wp:posOffset>
                </wp:positionV>
                <wp:extent cx="3550920" cy="304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37960784" name="CaixaDe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054DC" w14:textId="6636BD49" w:rsidR="003A5E9A" w:rsidRPr="003A5E9A" w:rsidRDefault="003A5E9A" w:rsidP="003A5E9A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3A5E9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Fig. </w:t>
                            </w:r>
                            <w:r w:rsidR="00B624F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Pr="003A5E9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3A5E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– Extração de ADN</w:t>
                            </w:r>
                            <w:r w:rsidRPr="003A5E9A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3A5E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(original).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F662" id="_x0000_s1029" type="#_x0000_t202" style="position:absolute;left:0;text-align:left;margin-left:0;margin-top:197.85pt;width:279.6pt;height:24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" filled="f" stroked="f">
                <v:textbox>
                  <w:txbxContent>
                    <w:p w14:paraId="5BD054DC" w14:textId="6636BD49" w:rsidR="003A5E9A" w:rsidRPr="003A5E9A" w:rsidRDefault="003A5E9A" w:rsidP="003A5E9A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3A5E9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Fig. </w:t>
                      </w:r>
                      <w:r w:rsidR="00B624F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4</w:t>
                      </w:r>
                      <w:r w:rsidRPr="003A5E9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3A5E9A">
                        <w:rPr>
                          <w:rFonts w:hAnsi="Calibri"/>
                          <w:color w:val="000000" w:themeColor="text1"/>
                          <w:kern w:val="24"/>
                        </w:rPr>
                        <w:t>– Extração de ADN</w:t>
                      </w:r>
                      <w:r w:rsidRPr="003A5E9A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3A5E9A">
                        <w:rPr>
                          <w:rFonts w:hAnsi="Calibri"/>
                          <w:color w:val="000000" w:themeColor="text1"/>
                          <w:kern w:val="24"/>
                        </w:rPr>
                        <w:t>(original).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D10AB">
        <w:t xml:space="preserve">não foram selecionados animais de uma </w:t>
      </w:r>
      <w:r w:rsidR="00A446C3">
        <w:t xml:space="preserve">ou mais </w:t>
      </w:r>
      <w:r w:rsidR="00CD10AB">
        <w:t>raça</w:t>
      </w:r>
      <w:r w:rsidR="00A446C3">
        <w:t>s</w:t>
      </w:r>
      <w:r w:rsidR="00CD10AB">
        <w:t xml:space="preserve"> em específico.</w:t>
      </w:r>
      <w:r w:rsidR="00A446C3">
        <w:t xml:space="preserve"> Este facto contribui para a premissa assumida neste estudo, que considera os animais das raças Alentejana e Mertolenga, originárias de uma região endémica de Teileriose Tropical, mais resistentes quando comparados com animais de outras raças.</w:t>
      </w:r>
      <w:r w:rsidR="000F7C41">
        <w:t xml:space="preserve"> </w:t>
      </w:r>
      <w:r w:rsidR="00CC445A">
        <w:t>Além disso, foram também identificados como fatores de risco para a positividade à Teileriose</w:t>
      </w:r>
      <w:r w:rsidR="006C0CE6">
        <w:t>,</w:t>
      </w:r>
      <w:r w:rsidR="00CC445A">
        <w:t xml:space="preserve"> a idade e a região onde os animais se encontra</w:t>
      </w:r>
      <w:r w:rsidR="006C0CE6">
        <w:t>va</w:t>
      </w:r>
      <w:r w:rsidR="00CC445A">
        <w:t xml:space="preserve">m. Relativamente à idade, verificamos que quanto mais velho for um animal, maior a probabilidade de este ter sido exposto ao </w:t>
      </w:r>
      <w:proofErr w:type="spellStart"/>
      <w:r w:rsidR="00CC445A">
        <w:t>hemoparasita</w:t>
      </w:r>
      <w:proofErr w:type="spellEnd"/>
      <w:r w:rsidR="00CC445A">
        <w:t xml:space="preserve"> durante a sua vida</w:t>
      </w:r>
      <w:r w:rsidR="00073062">
        <w:t xml:space="preserve">, enquanto a região onde os animais se encontram poderá estar relacionada com a distribuição e </w:t>
      </w:r>
      <w:r w:rsidR="00E974F7">
        <w:t xml:space="preserve">a </w:t>
      </w:r>
      <w:r w:rsidR="00073062">
        <w:t>presença da carraça necessária à sua transmissão, como referido anteriormente.</w:t>
      </w:r>
    </w:p>
    <w:p w14:paraId="2DA9DC4A" w14:textId="77777777" w:rsidR="00EA0F28" w:rsidRDefault="00EA0F28" w:rsidP="00CE65DD">
      <w:pPr>
        <w:spacing w:after="0" w:line="240" w:lineRule="auto"/>
        <w:jc w:val="both"/>
        <w:rPr>
          <w:b/>
          <w:bCs/>
        </w:rPr>
      </w:pPr>
    </w:p>
    <w:p w14:paraId="5778FCD8" w14:textId="33C5285A" w:rsidR="00F80A27" w:rsidRPr="00F80A27" w:rsidRDefault="00F80A27" w:rsidP="00CE65DD">
      <w:pPr>
        <w:spacing w:after="0" w:line="240" w:lineRule="auto"/>
        <w:jc w:val="both"/>
        <w:rPr>
          <w:b/>
          <w:bCs/>
        </w:rPr>
      </w:pPr>
      <w:r w:rsidRPr="00F80A27">
        <w:rPr>
          <w:b/>
          <w:bCs/>
        </w:rPr>
        <w:t>Identificação de marcadores genéticos</w:t>
      </w:r>
    </w:p>
    <w:p w14:paraId="555CD096" w14:textId="2463A34B" w:rsidR="009E7048" w:rsidRDefault="009E7048" w:rsidP="00F76E34">
      <w:pPr>
        <w:spacing w:after="0" w:line="240" w:lineRule="auto"/>
        <w:jc w:val="both"/>
      </w:pPr>
      <w:r>
        <w:t xml:space="preserve">Neste trabalho científico foram utilizadas </w:t>
      </w:r>
      <w:r w:rsidR="005E7E85">
        <w:t xml:space="preserve">técnicas moleculares </w:t>
      </w:r>
      <w:r>
        <w:t xml:space="preserve">que permitiram identificar variantes genómicas associadas à resistência à infeção por </w:t>
      </w:r>
      <w:r w:rsidRPr="00412516">
        <w:rPr>
          <w:i/>
          <w:iCs/>
        </w:rPr>
        <w:t xml:space="preserve">T. </w:t>
      </w:r>
      <w:proofErr w:type="spellStart"/>
      <w:r w:rsidRPr="00412516">
        <w:rPr>
          <w:i/>
          <w:iCs/>
        </w:rPr>
        <w:t>annulata</w:t>
      </w:r>
      <w:proofErr w:type="spellEnd"/>
      <w:r>
        <w:t xml:space="preserve">, que poderão ser utilizadas em programas de seleção assistida por marcadores. Assim, o objetivo era identificar genes ou regiões genómicas envolvidas na resistência à </w:t>
      </w:r>
      <w:proofErr w:type="spellStart"/>
      <w:r>
        <w:t>teileriose</w:t>
      </w:r>
      <w:proofErr w:type="spellEnd"/>
      <w:r>
        <w:t xml:space="preserve"> tropical</w:t>
      </w:r>
      <w:r w:rsidR="00412516">
        <w:t xml:space="preserve"> nas raças autóctones Alentejana e Mertolenga, ambas oficialmente ameaçadas de extinção e para as quais existem programas oficiais de conservação e melhoramento genético. Assim, foram identificados 24 </w:t>
      </w:r>
      <w:proofErr w:type="spellStart"/>
      <w:r w:rsidR="00412516">
        <w:t>SNPs</w:t>
      </w:r>
      <w:proofErr w:type="spellEnd"/>
      <w:r w:rsidR="00412516">
        <w:t xml:space="preserve"> (</w:t>
      </w:r>
      <w:r w:rsidR="00412516" w:rsidRPr="00412516">
        <w:rPr>
          <w:i/>
          <w:iCs/>
        </w:rPr>
        <w:t xml:space="preserve">Single </w:t>
      </w:r>
      <w:proofErr w:type="spellStart"/>
      <w:r w:rsidR="00412516" w:rsidRPr="00412516">
        <w:rPr>
          <w:i/>
          <w:iCs/>
        </w:rPr>
        <w:t>Nucleotide</w:t>
      </w:r>
      <w:proofErr w:type="spellEnd"/>
      <w:r w:rsidR="00412516" w:rsidRPr="00412516">
        <w:rPr>
          <w:i/>
          <w:iCs/>
        </w:rPr>
        <w:t xml:space="preserve"> </w:t>
      </w:r>
      <w:proofErr w:type="spellStart"/>
      <w:r w:rsidR="00412516" w:rsidRPr="00412516">
        <w:rPr>
          <w:i/>
          <w:iCs/>
        </w:rPr>
        <w:t>Polymorphism</w:t>
      </w:r>
      <w:proofErr w:type="spellEnd"/>
      <w:r w:rsidR="00412516" w:rsidRPr="00412516">
        <w:t>)</w:t>
      </w:r>
      <w:r w:rsidR="00412516">
        <w:t xml:space="preserve"> na raça Alentejana e 20 </w:t>
      </w:r>
      <w:proofErr w:type="spellStart"/>
      <w:r w:rsidR="00412516">
        <w:t>SNPs</w:t>
      </w:r>
      <w:proofErr w:type="spellEnd"/>
      <w:r w:rsidR="00412516">
        <w:t xml:space="preserve"> na raça Mertolenga, os quais se pretende que venham a ser utilizados como marcadores genéticos. Por outro lado, no caso da raça Mertolenga, verificamos a </w:t>
      </w:r>
      <w:r w:rsidR="00293700">
        <w:t>proximidade de alguns</w:t>
      </w:r>
      <w:r w:rsidR="00412516">
        <w:t xml:space="preserve"> destes </w:t>
      </w:r>
      <w:proofErr w:type="spellStart"/>
      <w:r w:rsidR="00412516">
        <w:t>SNPs</w:t>
      </w:r>
      <w:proofErr w:type="spellEnd"/>
      <w:r w:rsidR="00412516">
        <w:t xml:space="preserve"> com </w:t>
      </w:r>
      <w:proofErr w:type="spellStart"/>
      <w:r w:rsidR="00412516">
        <w:t>QTLs</w:t>
      </w:r>
      <w:proofErr w:type="spellEnd"/>
      <w:r w:rsidR="00EB2B7A">
        <w:t xml:space="preserve"> (</w:t>
      </w:r>
      <w:r w:rsidR="00EB2B7A" w:rsidRPr="00EB2B7A">
        <w:rPr>
          <w:i/>
          <w:iCs/>
        </w:rPr>
        <w:t xml:space="preserve">Single </w:t>
      </w:r>
      <w:proofErr w:type="spellStart"/>
      <w:r w:rsidR="00EB2B7A" w:rsidRPr="00EB2B7A">
        <w:rPr>
          <w:i/>
          <w:iCs/>
        </w:rPr>
        <w:t>Nucleotide</w:t>
      </w:r>
      <w:proofErr w:type="spellEnd"/>
      <w:r w:rsidR="00EB2B7A" w:rsidRPr="00EB2B7A">
        <w:rPr>
          <w:i/>
          <w:iCs/>
        </w:rPr>
        <w:t xml:space="preserve"> </w:t>
      </w:r>
      <w:proofErr w:type="spellStart"/>
      <w:r w:rsidR="00EB2B7A" w:rsidRPr="00EB2B7A">
        <w:rPr>
          <w:i/>
          <w:iCs/>
        </w:rPr>
        <w:t>Polymorphism</w:t>
      </w:r>
      <w:proofErr w:type="spellEnd"/>
      <w:r w:rsidR="00EB2B7A" w:rsidRPr="00EB2B7A">
        <w:t>)</w:t>
      </w:r>
      <w:r w:rsidR="00EB2B7A">
        <w:t>, os quais se encontram tipicamente associados a características produtivas nestes animais. Isto é extremamente importante, pois os programas de seleção genética devem ter em consideração características de saúde, mas não pode</w:t>
      </w:r>
      <w:r w:rsidR="00293700">
        <w:t>m</w:t>
      </w:r>
      <w:r w:rsidR="00EB2B7A">
        <w:t xml:space="preserve"> esquecer, em nenhum momento, as características produtivas. Assim, poderemos utilizar estes marcadores para selecionar animais de maior valor económico para as próximas gerações, considerando </w:t>
      </w:r>
      <w:r w:rsidR="00A335A9">
        <w:t xml:space="preserve">em simultâneo </w:t>
      </w:r>
      <w:r w:rsidR="00EB2B7A">
        <w:t>características produtivas e de saúde.</w:t>
      </w:r>
    </w:p>
    <w:p w14:paraId="0AC7FC73" w14:textId="4C910F45" w:rsidR="003A5E9A" w:rsidRDefault="00EB2B7A" w:rsidP="00F76E34">
      <w:pPr>
        <w:spacing w:after="0" w:line="240" w:lineRule="auto"/>
        <w:jc w:val="both"/>
      </w:pPr>
      <w:r>
        <w:t xml:space="preserve">A regulação da infeção por </w:t>
      </w:r>
      <w:r w:rsidRPr="00BD0E91">
        <w:rPr>
          <w:i/>
          <w:iCs/>
        </w:rPr>
        <w:t xml:space="preserve">T. </w:t>
      </w:r>
      <w:proofErr w:type="spellStart"/>
      <w:r w:rsidRPr="00BD0E91">
        <w:rPr>
          <w:i/>
          <w:iCs/>
        </w:rPr>
        <w:t>annulata</w:t>
      </w:r>
      <w:proofErr w:type="spellEnd"/>
      <w:r>
        <w:t xml:space="preserve"> depende de processos imunitários, da proliferação, apoptose e organização do citoesqueleto celular, e da ativação de vias moleculares de sobrevivência das células infetadas. Em ambas as raças encontrámos genes associados a estas funções. </w:t>
      </w:r>
      <w:r w:rsidR="00BD0E91">
        <w:t>Além disso, na raça Alentejana encontrámos genes associados à proliferação, diferenciação e sobrevivência c</w:t>
      </w:r>
      <w:r w:rsidR="00AB7ADF">
        <w:t>elular</w:t>
      </w:r>
      <w:r w:rsidR="00BD0E91">
        <w:t xml:space="preserve">, bem como à imunidade humoral. Por outro lado, na raça Mertolenga </w:t>
      </w:r>
      <w:r w:rsidR="00940DA1">
        <w:t>foi encontrado</w:t>
      </w:r>
      <w:r w:rsidR="00BD0E91">
        <w:t xml:space="preserve"> o gene </w:t>
      </w:r>
      <w:r w:rsidR="00BD0E91" w:rsidRPr="00BD0E91">
        <w:rPr>
          <w:i/>
          <w:iCs/>
        </w:rPr>
        <w:t>ZBTB44</w:t>
      </w:r>
      <w:r w:rsidR="00BD0E91">
        <w:t xml:space="preserve"> que parece estar associado à resposta imunitária dependente de macrófagos, e o gene </w:t>
      </w:r>
      <w:r w:rsidR="00BD0E91" w:rsidRPr="00BD0E91">
        <w:rPr>
          <w:i/>
          <w:iCs/>
        </w:rPr>
        <w:t>UOX</w:t>
      </w:r>
      <w:r w:rsidR="00BD0E91">
        <w:t xml:space="preserve">, que codifica a enzima urato oxidase, cuja função é a degradação do ácido úrico, um parâmetro hematológico que parece estar aumentado em animais infetados por </w:t>
      </w:r>
      <w:r w:rsidR="00BD0E91" w:rsidRPr="00BD0E91">
        <w:rPr>
          <w:i/>
          <w:iCs/>
        </w:rPr>
        <w:t xml:space="preserve">T. </w:t>
      </w:r>
      <w:proofErr w:type="spellStart"/>
      <w:r w:rsidR="00BD0E91" w:rsidRPr="00BD0E91">
        <w:rPr>
          <w:i/>
          <w:iCs/>
        </w:rPr>
        <w:t>annulata</w:t>
      </w:r>
      <w:proofErr w:type="spellEnd"/>
      <w:r w:rsidR="00BD0E91">
        <w:t xml:space="preserve">. </w:t>
      </w:r>
    </w:p>
    <w:p w14:paraId="627602B8" w14:textId="77777777" w:rsidR="00EA0F28" w:rsidRDefault="00EA0F28" w:rsidP="00F76E34">
      <w:pPr>
        <w:spacing w:after="0" w:line="240" w:lineRule="auto"/>
        <w:rPr>
          <w:b/>
          <w:bCs/>
        </w:rPr>
      </w:pPr>
    </w:p>
    <w:p w14:paraId="166CD95A" w14:textId="6874C352" w:rsidR="00293700" w:rsidRPr="00293700" w:rsidRDefault="00293700" w:rsidP="00F76E34">
      <w:pPr>
        <w:spacing w:after="0" w:line="240" w:lineRule="auto"/>
        <w:rPr>
          <w:b/>
          <w:bCs/>
        </w:rPr>
      </w:pPr>
      <w:r w:rsidRPr="00293700">
        <w:rPr>
          <w:b/>
          <w:bCs/>
        </w:rPr>
        <w:lastRenderedPageBreak/>
        <w:t>Estratégias de controlo inovadoras, sustentáveis e eficazes</w:t>
      </w:r>
    </w:p>
    <w:p w14:paraId="15E1F777" w14:textId="5AD594B3" w:rsidR="00900D72" w:rsidRDefault="007A1BA3" w:rsidP="00F76E34">
      <w:pPr>
        <w:spacing w:after="0" w:line="240" w:lineRule="auto"/>
        <w:jc w:val="both"/>
      </w:pPr>
      <w:r>
        <w:t xml:space="preserve">Em suma, as carraças e as doenças transmitidas por carraças, tais como a Teileriose Tropical, têm importância mundial e são responsáveis por perdas económicas significativas, associadas ao seu controlo e </w:t>
      </w:r>
      <w:r w:rsidR="00293700">
        <w:t>à</w:t>
      </w:r>
      <w:r>
        <w:t xml:space="preserve"> redução da produtividade dos animais afetados. As alterações climáticas parecem estar a agravar este problema e as estratégias de controlo aplicadas atualmente não parecem ser suficientes. Deste modo, é extremamente importante investir em estratégias alternativas, sustentáveis e eficazes. A identificação de marcadores genéticos associados à resistência à Teileriose Tropical poderá ser o primeiro passo para a seleção de animais reprodutores resistentes, no âmbito dos programas de melhoramento destas raças. Assim, </w:t>
      </w:r>
      <w:r w:rsidR="00A335A9">
        <w:t>é importante dar continuidade a</w:t>
      </w:r>
      <w:r>
        <w:t xml:space="preserve"> estudos nesta área</w:t>
      </w:r>
      <w:r w:rsidR="00A335A9">
        <w:t>,</w:t>
      </w:r>
      <w:r>
        <w:t xml:space="preserve"> para que </w:t>
      </w:r>
      <w:r w:rsidR="0001644E">
        <w:t xml:space="preserve">seja possível </w:t>
      </w:r>
      <w:r>
        <w:t xml:space="preserve">desenvolver </w:t>
      </w:r>
      <w:r w:rsidR="0001644E">
        <w:t xml:space="preserve">e aplicar </w:t>
      </w:r>
      <w:r>
        <w:t>estas estratégias de controlo</w:t>
      </w:r>
      <w:r w:rsidR="000941C6">
        <w:t xml:space="preserve"> inovadoras</w:t>
      </w:r>
      <w:r>
        <w:t>, contribuindo cumulativamente para a proteção da saúde e do</w:t>
      </w:r>
      <w:r w:rsidR="000941C6">
        <w:t xml:space="preserve"> bem-estar dos animais e, em simultâneo, para a garantia da segurança alimentar e da saúde pública.</w:t>
      </w:r>
    </w:p>
    <w:p w14:paraId="283CD0B1" w14:textId="77777777" w:rsidR="009E3605" w:rsidRDefault="009E3605" w:rsidP="00F76E34">
      <w:pPr>
        <w:spacing w:after="0" w:line="240" w:lineRule="auto"/>
        <w:jc w:val="both"/>
        <w:rPr>
          <w:b/>
          <w:bCs/>
        </w:rPr>
      </w:pPr>
    </w:p>
    <w:p w14:paraId="7E67CD2F" w14:textId="2EC3CA83" w:rsidR="00084B70" w:rsidRPr="00255757" w:rsidRDefault="00084B70" w:rsidP="00F76E34">
      <w:pPr>
        <w:spacing w:after="0" w:line="240" w:lineRule="auto"/>
        <w:jc w:val="both"/>
        <w:rPr>
          <w:b/>
          <w:bCs/>
        </w:rPr>
      </w:pPr>
      <w:r w:rsidRPr="00255757">
        <w:rPr>
          <w:b/>
          <w:bCs/>
        </w:rPr>
        <w:t>Agradecimentos</w:t>
      </w:r>
    </w:p>
    <w:p w14:paraId="7CB1772C" w14:textId="25B9C7E4" w:rsidR="00084B70" w:rsidRDefault="00255757" w:rsidP="00F76E34">
      <w:pPr>
        <w:spacing w:after="0" w:line="240" w:lineRule="auto"/>
        <w:jc w:val="both"/>
      </w:pPr>
      <w:r>
        <w:t xml:space="preserve">Agradecemos à </w:t>
      </w:r>
      <w:r w:rsidR="00926E08">
        <w:t xml:space="preserve">Doutora Ana Cláudia Coelho, </w:t>
      </w:r>
      <w:r w:rsidR="000E1637">
        <w:t>Dra.</w:t>
      </w:r>
      <w:r w:rsidR="00926E08">
        <w:t xml:space="preserve"> Ana Paula Dutra e ao Doutor Octávio Serra por todo o apoio durante a realização deste estudo.</w:t>
      </w:r>
    </w:p>
    <w:p w14:paraId="7D684CD3" w14:textId="77777777" w:rsidR="009E3605" w:rsidRDefault="009E3605" w:rsidP="00F76E34">
      <w:pPr>
        <w:spacing w:after="0" w:line="240" w:lineRule="auto"/>
        <w:rPr>
          <w:b/>
          <w:bCs/>
        </w:rPr>
      </w:pPr>
    </w:p>
    <w:p w14:paraId="0BB3410A" w14:textId="401EEC9E" w:rsidR="00AB7ADF" w:rsidRDefault="004C5B23" w:rsidP="00F76E34">
      <w:pPr>
        <w:spacing w:after="0" w:line="240" w:lineRule="auto"/>
      </w:pPr>
      <w:bookmarkStart w:id="0" w:name="_GoBack"/>
      <w:bookmarkEnd w:id="0"/>
      <w:r w:rsidRPr="004C5B23">
        <w:rPr>
          <w:b/>
          <w:bCs/>
        </w:rPr>
        <w:t>Adaptado de:</w:t>
      </w:r>
      <w:r w:rsidRPr="004C5B23">
        <w:t xml:space="preserve"> </w:t>
      </w:r>
    </w:p>
    <w:p w14:paraId="2428BD23" w14:textId="593A136E" w:rsidR="000A3137" w:rsidRPr="000A3137" w:rsidRDefault="000A3137" w:rsidP="00F76E3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Calibri" w:hAnsi="Calibri" w:cs="Calibri"/>
          <w:noProof/>
          <w:kern w:val="0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0A3137">
        <w:rPr>
          <w:rFonts w:ascii="Calibri" w:hAnsi="Calibri" w:cs="Calibri"/>
          <w:noProof/>
          <w:kern w:val="0"/>
        </w:rPr>
        <w:t xml:space="preserve">Valente D, Gomes J, Coelho AC, Carolino I. Genetic Resistance of Bovines to Theileriosis. </w:t>
      </w:r>
      <w:r w:rsidRPr="000A3137">
        <w:rPr>
          <w:rFonts w:ascii="Calibri" w:hAnsi="Calibri" w:cs="Calibri"/>
          <w:i/>
          <w:iCs/>
          <w:noProof/>
          <w:kern w:val="0"/>
        </w:rPr>
        <w:t>Animals</w:t>
      </w:r>
      <w:r w:rsidRPr="000A3137">
        <w:rPr>
          <w:rFonts w:ascii="Calibri" w:hAnsi="Calibri" w:cs="Calibri"/>
          <w:noProof/>
          <w:kern w:val="0"/>
        </w:rPr>
        <w:t>. 2022;12(2903):1-13. doi:https://doi.org/10.3390/ani12212903</w:t>
      </w:r>
    </w:p>
    <w:p w14:paraId="49ECA48E" w14:textId="09A2F01B" w:rsidR="000A3137" w:rsidRPr="000A3137" w:rsidRDefault="000A3137" w:rsidP="00F76E3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Calibri" w:hAnsi="Calibri" w:cs="Calibri"/>
          <w:noProof/>
          <w:kern w:val="0"/>
        </w:rPr>
      </w:pPr>
      <w:r w:rsidRPr="009A7448">
        <w:rPr>
          <w:rFonts w:ascii="Calibri" w:hAnsi="Calibri" w:cs="Calibri"/>
          <w:noProof/>
          <w:kern w:val="0"/>
          <w:lang w:val="en-GB"/>
        </w:rPr>
        <w:t xml:space="preserve">Valente D, Dutra AP, Carolino N, et al. Prevalence and Risk Factors Associated with Theileria annulata Infection in Two Bovine Portuguese Autochthonous Breeds. </w:t>
      </w:r>
      <w:r w:rsidRPr="000A3137">
        <w:rPr>
          <w:rFonts w:ascii="Calibri" w:hAnsi="Calibri" w:cs="Calibri"/>
          <w:i/>
          <w:iCs/>
          <w:noProof/>
          <w:kern w:val="0"/>
        </w:rPr>
        <w:t>Pathogens</w:t>
      </w:r>
      <w:r w:rsidRPr="000A3137">
        <w:rPr>
          <w:rFonts w:ascii="Calibri" w:hAnsi="Calibri" w:cs="Calibri"/>
          <w:noProof/>
          <w:kern w:val="0"/>
        </w:rPr>
        <w:t>. 2023;12(669):1-13. doi:https://doi.org/ 10.3390/pathogens12050669 Academic</w:t>
      </w:r>
    </w:p>
    <w:p w14:paraId="1671C84F" w14:textId="07CBF7AF" w:rsidR="000A3137" w:rsidRPr="000A3137" w:rsidRDefault="000A3137" w:rsidP="00F76E3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Calibri" w:hAnsi="Calibri" w:cs="Calibri"/>
          <w:noProof/>
        </w:rPr>
      </w:pPr>
      <w:r w:rsidRPr="000A3137">
        <w:rPr>
          <w:rFonts w:ascii="Calibri" w:hAnsi="Calibri" w:cs="Calibri"/>
          <w:noProof/>
          <w:kern w:val="0"/>
        </w:rPr>
        <w:t xml:space="preserve">Valente D, Serra O, Carolino N, et al. </w:t>
      </w:r>
      <w:r w:rsidRPr="009A7448">
        <w:rPr>
          <w:rFonts w:ascii="Calibri" w:hAnsi="Calibri" w:cs="Calibri"/>
          <w:noProof/>
          <w:kern w:val="0"/>
          <w:lang w:val="en-GB"/>
        </w:rPr>
        <w:t xml:space="preserve">A Genome-Wide Association Study for Resistance to Tropical Theileriosis in Two Bovine Portuguese Autochthonous Breeds. </w:t>
      </w:r>
      <w:r w:rsidRPr="000A3137">
        <w:rPr>
          <w:rFonts w:ascii="Calibri" w:hAnsi="Calibri" w:cs="Calibri"/>
          <w:i/>
          <w:iCs/>
          <w:noProof/>
          <w:kern w:val="0"/>
        </w:rPr>
        <w:t>Pathogens</w:t>
      </w:r>
      <w:r w:rsidRPr="000A3137">
        <w:rPr>
          <w:rFonts w:ascii="Calibri" w:hAnsi="Calibri" w:cs="Calibri"/>
          <w:noProof/>
          <w:kern w:val="0"/>
        </w:rPr>
        <w:t>. 2024;13(71). doi:https://doi.org/10.3390/pathogens13010071</w:t>
      </w:r>
    </w:p>
    <w:p w14:paraId="1D803C28" w14:textId="04D80D8C" w:rsidR="007A1BA3" w:rsidRDefault="000A3137" w:rsidP="00F76E34">
      <w:pPr>
        <w:spacing w:after="0" w:line="240" w:lineRule="auto"/>
      </w:pPr>
      <w:r>
        <w:fldChar w:fldCharType="end"/>
      </w:r>
    </w:p>
    <w:p w14:paraId="168B1F9F" w14:textId="6332C8A1" w:rsidR="00BD24BE" w:rsidRPr="00BD24BE" w:rsidRDefault="00BD24BE" w:rsidP="00F76E34">
      <w:pPr>
        <w:spacing w:after="0" w:line="240" w:lineRule="auto"/>
      </w:pPr>
    </w:p>
    <w:sectPr w:rsidR="00BD24BE" w:rsidRPr="00BD2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6C"/>
    <w:rsid w:val="0001644E"/>
    <w:rsid w:val="0002287D"/>
    <w:rsid w:val="00027622"/>
    <w:rsid w:val="00030BA4"/>
    <w:rsid w:val="0006191B"/>
    <w:rsid w:val="00072C5F"/>
    <w:rsid w:val="00073062"/>
    <w:rsid w:val="00084B70"/>
    <w:rsid w:val="000941C6"/>
    <w:rsid w:val="000A3137"/>
    <w:rsid w:val="000C1702"/>
    <w:rsid w:val="000D2836"/>
    <w:rsid w:val="000E1637"/>
    <w:rsid w:val="000F6025"/>
    <w:rsid w:val="000F7C41"/>
    <w:rsid w:val="00130710"/>
    <w:rsid w:val="001360A2"/>
    <w:rsid w:val="00143662"/>
    <w:rsid w:val="001B6644"/>
    <w:rsid w:val="00244CA1"/>
    <w:rsid w:val="00255757"/>
    <w:rsid w:val="00276083"/>
    <w:rsid w:val="0028130E"/>
    <w:rsid w:val="00293700"/>
    <w:rsid w:val="002F4828"/>
    <w:rsid w:val="00320362"/>
    <w:rsid w:val="00333B92"/>
    <w:rsid w:val="00383011"/>
    <w:rsid w:val="003A5E9A"/>
    <w:rsid w:val="003E062A"/>
    <w:rsid w:val="003F64BA"/>
    <w:rsid w:val="00412516"/>
    <w:rsid w:val="0043490B"/>
    <w:rsid w:val="00444004"/>
    <w:rsid w:val="004B088A"/>
    <w:rsid w:val="004C5B23"/>
    <w:rsid w:val="005049E3"/>
    <w:rsid w:val="0053254B"/>
    <w:rsid w:val="00555324"/>
    <w:rsid w:val="005977B6"/>
    <w:rsid w:val="005A58F2"/>
    <w:rsid w:val="005E7E85"/>
    <w:rsid w:val="0066239A"/>
    <w:rsid w:val="00687A9C"/>
    <w:rsid w:val="006C0CE6"/>
    <w:rsid w:val="006E69D7"/>
    <w:rsid w:val="006F1F2B"/>
    <w:rsid w:val="00765052"/>
    <w:rsid w:val="00791616"/>
    <w:rsid w:val="007A1BA3"/>
    <w:rsid w:val="007B10AA"/>
    <w:rsid w:val="00801570"/>
    <w:rsid w:val="00802AEC"/>
    <w:rsid w:val="00811E94"/>
    <w:rsid w:val="008620FE"/>
    <w:rsid w:val="008A402E"/>
    <w:rsid w:val="008D014F"/>
    <w:rsid w:val="00900D72"/>
    <w:rsid w:val="00926E08"/>
    <w:rsid w:val="00940DA1"/>
    <w:rsid w:val="00952B2F"/>
    <w:rsid w:val="009554C0"/>
    <w:rsid w:val="009A7448"/>
    <w:rsid w:val="009B5C27"/>
    <w:rsid w:val="009E3605"/>
    <w:rsid w:val="009E7048"/>
    <w:rsid w:val="00A24E60"/>
    <w:rsid w:val="00A335A9"/>
    <w:rsid w:val="00A446C3"/>
    <w:rsid w:val="00A63AF7"/>
    <w:rsid w:val="00A8494B"/>
    <w:rsid w:val="00AB5299"/>
    <w:rsid w:val="00AB7ADF"/>
    <w:rsid w:val="00AD34F7"/>
    <w:rsid w:val="00AD49D7"/>
    <w:rsid w:val="00B010E7"/>
    <w:rsid w:val="00B32B25"/>
    <w:rsid w:val="00B624F9"/>
    <w:rsid w:val="00B807A2"/>
    <w:rsid w:val="00BB02DE"/>
    <w:rsid w:val="00BD0E91"/>
    <w:rsid w:val="00BD24BE"/>
    <w:rsid w:val="00C0192F"/>
    <w:rsid w:val="00C65658"/>
    <w:rsid w:val="00C747D9"/>
    <w:rsid w:val="00C92ECE"/>
    <w:rsid w:val="00CC445A"/>
    <w:rsid w:val="00CD10AB"/>
    <w:rsid w:val="00CE65DD"/>
    <w:rsid w:val="00D05002"/>
    <w:rsid w:val="00D269C9"/>
    <w:rsid w:val="00D9042D"/>
    <w:rsid w:val="00DA745E"/>
    <w:rsid w:val="00DB3B64"/>
    <w:rsid w:val="00E64876"/>
    <w:rsid w:val="00E842BE"/>
    <w:rsid w:val="00E907CE"/>
    <w:rsid w:val="00E93B3A"/>
    <w:rsid w:val="00E974F7"/>
    <w:rsid w:val="00EA0F28"/>
    <w:rsid w:val="00EB2330"/>
    <w:rsid w:val="00EB2B7A"/>
    <w:rsid w:val="00F02B71"/>
    <w:rsid w:val="00F47B63"/>
    <w:rsid w:val="00F76E34"/>
    <w:rsid w:val="00F80A27"/>
    <w:rsid w:val="00FC0BB5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D69"/>
  <w15:docId w15:val="{0468F553-5E83-4A81-8D4C-24F4B52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F2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F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F2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F2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F2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F2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F2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F2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F2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F2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F2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F2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F2C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F2C6C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F2C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F2C6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F2C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F2C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F2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F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F2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F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F2C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2C6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F2C6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F2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F2C6C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F2C6C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EB2B7A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B2B7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E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69D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E69D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E69D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E69D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E69D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E69D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F6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dmsvalente@hot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B47E-5D01-40A7-8DED-1B47EBC6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1814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Margarida da Silva Valente</dc:creator>
  <cp:lastModifiedBy>Ana Pires da Silva</cp:lastModifiedBy>
  <cp:revision>12</cp:revision>
  <dcterms:created xsi:type="dcterms:W3CDTF">2025-04-01T19:51:00Z</dcterms:created>
  <dcterms:modified xsi:type="dcterms:W3CDTF">2025-04-01T20:23:00Z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54af2d36-fe3f-4cfc-a526-bc579d485704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6ce5be55-0e58-35cb-8863-8263772c429b</vt:lpwstr>
  </property>
  <property fmtid="{D5CDD505-2E9C-101B-9397-08002B2CF9AE}" pid="5" name="Mendeley Citation Style_1">
    <vt:lpwstr>http://www.zotero.org/styles/american-medical-association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http://www.zotero.org/styles/chicago-author-date</vt:lpwstr>
  </property>
  <property fmtid="{D5CDD505-2E9C-101B-9397-08002B2CF9AE}" pid="13" name="Mendeley Recent Style Name 3_1">
    <vt:lpwstr>Chicago Manual of Style 17th edition (author-date)</vt:lpwstr>
  </property>
  <property fmtid="{D5CDD505-2E9C-101B-9397-08002B2CF9AE}" pid="14" name="Mendeley Recent Style Id 4_1">
    <vt:lpwstr>http://www.zotero.org/styles/harvard-cite-them-right</vt:lpwstr>
  </property>
  <property fmtid="{D5CDD505-2E9C-101B-9397-08002B2CF9AE}" pid="15" name="Mendeley Recent Style Name 4_1">
    <vt:lpwstr>Cite Them Right 10th edition - Harvard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http://www.zotero.org/styles/modern-humanities-research-association</vt:lpwstr>
  </property>
  <property fmtid="{D5CDD505-2E9C-101B-9397-08002B2CF9AE}" pid="19" name="Mendeley Recent Style Name 6_1">
    <vt:lpwstr>Modern Humanities Research Association 3rd edition (note with bibliography)</vt:lpwstr>
  </property>
  <property fmtid="{D5CDD505-2E9C-101B-9397-08002B2CF9AE}" pid="20" name="Mendeley Recent Style Id 7_1">
    <vt:lpwstr>http://www.zotero.org/styles/modern-language-association</vt:lpwstr>
  </property>
  <property fmtid="{D5CDD505-2E9C-101B-9397-08002B2CF9AE}" pid="21" name="Mendeley Recent Style Name 7_1">
    <vt:lpwstr>Modern Language Association 8th edition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http://www.zotero.org/styles/vancouver</vt:lpwstr>
  </property>
  <property fmtid="{D5CDD505-2E9C-101B-9397-08002B2CF9AE}" pid="25" name="Mendeley Recent Style Name 9_1">
    <vt:lpwstr>Vancouver</vt:lpwstr>
  </property>
</Properties>
</file>